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4531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3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French Lisa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440 ROUTE 22 EAST, SUITE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92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Keenova Therapeutics plc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NONE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BRIDGEWATER NJ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51,794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97,825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vesting, each restricted stock unit ("RSU") will be settled in ordinary shares of the Issuer at one share per RSU.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ratably on each of the first three anniversaries of February 25,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constitutes a notice to the Issuer for purposes of Part V of the Companies Act 2014.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Mark Tyndall,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8055" TargetMode="External"/><Relationship Id="rId14" Type="http://schemas.openxmlformats.org/officeDocument/2006/relationships/hyperlink" Target="http://www.sec.gov/cgi-bin/browse-edgar?action=getcompany&amp;CIK=00015678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2026-02-26T20:18:49Z</dcterms:created>
  <dcterms:modified xsi:type="dcterms:W3CDTF">2026-02-26T20:18:49Z</dcterms:modified>
</cp:coreProperties>
</file>