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Pursuant to Section 13 or 15(d)</w:t>
      </w:r>
    </w:p>
    <w:p>
      <w:pPr>
        <w:jc w:val="center"/>
        <w:ind w:right="-28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24"/>
        <w:spacing w:after="0"/>
        <w:rPr>
          <w:sz w:val="20"/>
          <w:szCs w:val="20"/>
          <w:color w:val="auto"/>
        </w:rPr>
      </w:pPr>
      <w:r>
        <w:rPr>
          <w:rFonts w:ascii="Arial" w:cs="Arial" w:eastAsia="Arial" w:hAnsi="Arial"/>
          <w:sz w:val="22"/>
          <w:szCs w:val="22"/>
          <w:b w:val="1"/>
          <w:bCs w:val="1"/>
          <w:color w:val="auto"/>
        </w:rPr>
        <w:t>Date of Report (Date of earliest event reported): August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Mallinckrodt plc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2"/>
              <w:spacing w:after="0"/>
              <w:rPr>
                <w:sz w:val="20"/>
                <w:szCs w:val="20"/>
                <w:color w:val="auto"/>
              </w:rPr>
            </w:pPr>
            <w:r>
              <w:rPr>
                <w:rFonts w:ascii="Arial" w:cs="Arial" w:eastAsia="Arial" w:hAnsi="Arial"/>
                <w:sz w:val="18"/>
                <w:szCs w:val="18"/>
                <w:b w:val="1"/>
                <w:bCs w:val="1"/>
                <w:color w:val="auto"/>
                <w:w w:val="94"/>
              </w:rPr>
              <w:t>Ireland</w:t>
            </w:r>
          </w:p>
        </w:tc>
        <w:tc>
          <w:tcPr>
            <w:tcW w:w="3420" w:type="dxa"/>
            <w:vAlign w:val="bottom"/>
          </w:tcPr>
          <w:p>
            <w:pPr>
              <w:ind w:left="1280"/>
              <w:spacing w:after="0"/>
              <w:rPr>
                <w:sz w:val="20"/>
                <w:szCs w:val="20"/>
                <w:color w:val="auto"/>
              </w:rPr>
            </w:pPr>
            <w:r>
              <w:rPr>
                <w:rFonts w:ascii="Arial" w:cs="Arial" w:eastAsia="Arial" w:hAnsi="Arial"/>
                <w:sz w:val="18"/>
                <w:szCs w:val="18"/>
                <w:b w:val="1"/>
                <w:bCs w:val="1"/>
                <w:color w:val="auto"/>
              </w:rPr>
              <w:t>001-35803</w:t>
            </w:r>
          </w:p>
        </w:tc>
        <w:tc>
          <w:tcPr>
            <w:tcW w:w="2460" w:type="dxa"/>
            <w:vAlign w:val="bottom"/>
          </w:tcPr>
          <w:p>
            <w:pPr>
              <w:jc w:val="center"/>
              <w:ind w:left="1242"/>
              <w:spacing w:after="0"/>
              <w:rPr>
                <w:sz w:val="20"/>
                <w:szCs w:val="20"/>
                <w:color w:val="auto"/>
              </w:rPr>
            </w:pPr>
            <w:r>
              <w:rPr>
                <w:rFonts w:ascii="Arial" w:cs="Arial" w:eastAsia="Arial" w:hAnsi="Arial"/>
                <w:sz w:val="18"/>
                <w:szCs w:val="18"/>
                <w:b w:val="1"/>
                <w:bCs w:val="1"/>
                <w:color w:val="auto"/>
                <w:w w:val="89"/>
              </w:rPr>
              <w:t>98-1088325</w:t>
            </w:r>
          </w:p>
        </w:tc>
      </w:tr>
      <w:tr>
        <w:trPr>
          <w:trHeight w:val="148"/>
        </w:trPr>
        <w:tc>
          <w:tcPr>
            <w:tcW w:w="2900" w:type="dxa"/>
            <w:vAlign w:val="bottom"/>
          </w:tcPr>
          <w:p>
            <w:pPr>
              <w:jc w:val="center"/>
              <w:ind w:right="1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42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2"/>
              <w:spacing w:after="0"/>
              <w:rPr>
                <w:sz w:val="20"/>
                <w:szCs w:val="20"/>
                <w:color w:val="auto"/>
              </w:rPr>
            </w:pPr>
            <w:r>
              <w:rPr>
                <w:rFonts w:ascii="Arial" w:cs="Arial" w:eastAsia="Arial" w:hAnsi="Arial"/>
                <w:sz w:val="14"/>
                <w:szCs w:val="14"/>
                <w:b w:val="1"/>
                <w:bCs w:val="1"/>
                <w:color w:val="auto"/>
                <w:w w:val="94"/>
              </w:rPr>
              <w:t>of incorporation)</w:t>
            </w:r>
          </w:p>
        </w:tc>
        <w:tc>
          <w:tcPr>
            <w:tcW w:w="342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1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College Business &amp; Technology Park, Cruiserath, Blanchardstown, Dublin 15, Ireland</w:t>
      </w:r>
    </w:p>
    <w:p>
      <w:pPr>
        <w:spacing w:after="0" w:line="21"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ind w:left="2864"/>
        <w:spacing w:after="0"/>
        <w:rPr>
          <w:sz w:val="20"/>
          <w:szCs w:val="20"/>
          <w:color w:val="auto"/>
        </w:rPr>
      </w:pPr>
      <w:r>
        <w:rPr>
          <w:rFonts w:ascii="Arial" w:cs="Arial" w:eastAsia="Arial" w:hAnsi="Arial"/>
          <w:sz w:val="18"/>
          <w:szCs w:val="18"/>
          <w:b w:val="1"/>
          <w:bCs w:val="1"/>
          <w:color w:val="auto"/>
        </w:rPr>
        <w:t>+353 1 6960000 (Registrant’s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68" w:right="739" w:bottom="1440" w:gutter="0" w:footer="0" w:header="0"/>
        </w:sectPr>
      </w:pPr>
    </w:p>
    <w:bookmarkStart w:id="1" w:name="page2"/>
    <w:bookmarkEnd w:id="1"/>
    <w:p>
      <w:pPr>
        <w:ind w:right="12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As described in Item 5.07 below, none of the nominees to the Board of Directors (the “Board”) of Mallinckrodt plc, an Irish public limited company (“Mallinckrodt” or the “Company”) received a majority of votes cast in favor of their re-election. Accordingly, under the Company’s Articles of Association, Carlos V. Paya, M.D. and JoAnn A. Reed, who received the greatest votes in favor of their re-election, continued to hold office until their replacements were appointed.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August 13, 2021, following the conclusion of the 2021 Annual General Meeting, Carlos V. Paya, M.D. and JoAnn A. Reed appointed each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David R. Carlucci, J. Martin Carroll, Paul R. Carter, David Y. Norton, Angus C. Russell, Mark C. Trudeau, Anne C. Whitaker and Kneeland 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Youngblood, M.D. to serve as a director on the Board and the committee positions set forth below and to hold office until the earlier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next Annual General Meeting and the director’s death, retirement, resignation, or removal. The Board then confirmed and ratified the appointment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of Carlos V. Paya, M.D. and JoAnn A. Reed to serve as a director on the Board and the committee positions set forth below and to hold office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earlier of the Company’s next Annual General Meeting and the director’s death, retirement, resignation, or removal. In addition, Angus C. Russell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re-appointed to serve as Chairman of the Board and will hold such office until the earlier of the Company’s next Annual General Meeting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Russell’s death, retirement, resignation, or removal. The information set forth in the Proxy Statement (as defined below) under the captions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 of Non-Employee Directors</w:t>
      </w:r>
      <w:r>
        <w:rPr>
          <w:rFonts w:ascii="Arial" w:cs="Arial" w:eastAsia="Arial" w:hAnsi="Arial"/>
          <w:sz w:val="16"/>
          <w:szCs w:val="16"/>
          <w:color w:val="auto"/>
        </w:rPr>
        <w:t>,” “</w:t>
      </w:r>
      <w:r>
        <w:rPr>
          <w:rFonts w:ascii="Arial" w:cs="Arial" w:eastAsia="Arial" w:hAnsi="Arial"/>
          <w:sz w:val="16"/>
          <w:szCs w:val="16"/>
          <w:i w:val="1"/>
          <w:iCs w:val="1"/>
          <w:color w:val="auto"/>
        </w:rPr>
        <w:t>Compensation of Executive Officers</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 Ownership and Reporting</w:t>
      </w:r>
      <w:r>
        <w:rPr>
          <w:rFonts w:ascii="Arial" w:cs="Arial" w:eastAsia="Arial" w:hAnsi="Arial"/>
          <w:sz w:val="16"/>
          <w:szCs w:val="16"/>
          <w:color w:val="auto"/>
        </w:rPr>
        <w:t>”, “</w:t>
      </w:r>
      <w:r>
        <w:rPr>
          <w:rFonts w:ascii="Arial" w:cs="Arial" w:eastAsia="Arial" w:hAnsi="Arial"/>
          <w:sz w:val="16"/>
          <w:szCs w:val="16"/>
          <w:i w:val="1"/>
          <w:iCs w:val="1"/>
          <w:color w:val="auto"/>
        </w:rPr>
        <w:t>Equity Compensation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and “</w:t>
      </w:r>
      <w:r>
        <w:rPr>
          <w:rFonts w:ascii="Arial" w:cs="Arial" w:eastAsia="Arial" w:hAnsi="Arial"/>
          <w:sz w:val="18"/>
          <w:szCs w:val="18"/>
          <w:i w:val="1"/>
          <w:iCs w:val="1"/>
          <w:color w:val="auto"/>
        </w:rPr>
        <w:t>Directors Nominated for Election — Proposals 1(a) through 1(j)</w:t>
      </w:r>
      <w:r>
        <w:rPr>
          <w:rFonts w:ascii="Arial" w:cs="Arial" w:eastAsia="Arial" w:hAnsi="Arial"/>
          <w:sz w:val="18"/>
          <w:szCs w:val="18"/>
          <w:color w:val="auto"/>
        </w:rPr>
        <w:t>”, is incorporated herein by reference.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Governance and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Human Resources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Science and</w:t>
            </w:r>
          </w:p>
        </w:tc>
        <w:tc>
          <w:tcPr>
            <w:tcW w:w="0" w:type="dxa"/>
            <w:vAlign w:val="bottom"/>
          </w:tcPr>
          <w:p>
            <w:pPr>
              <w:spacing w:after="0"/>
              <w:rPr>
                <w:sz w:val="1"/>
                <w:szCs w:val="1"/>
                <w:color w:val="auto"/>
              </w:rPr>
            </w:pPr>
          </w:p>
        </w:tc>
      </w:tr>
      <w:tr>
        <w:trPr>
          <w:trHeight w:val="148"/>
        </w:trPr>
        <w:tc>
          <w:tcPr>
            <w:tcW w:w="296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Director Name</w:t>
            </w:r>
          </w:p>
        </w:tc>
        <w:tc>
          <w:tcPr>
            <w:tcW w:w="120" w:type="dxa"/>
            <w:vAlign w:val="bottom"/>
            <w:vMerge w:val="restart"/>
          </w:tcPr>
          <w:p>
            <w:pPr>
              <w:spacing w:after="0"/>
              <w:rPr>
                <w:sz w:val="12"/>
                <w:szCs w:val="12"/>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Audit Committee</w:t>
            </w:r>
          </w:p>
        </w:tc>
        <w:tc>
          <w:tcPr>
            <w:tcW w:w="120" w:type="dxa"/>
            <w:vAlign w:val="bottom"/>
            <w:vMerge w:val="restart"/>
          </w:tcPr>
          <w:p>
            <w:pPr>
              <w:spacing w:after="0"/>
              <w:rPr>
                <w:sz w:val="12"/>
                <w:szCs w:val="12"/>
                <w:color w:val="auto"/>
              </w:rPr>
            </w:pPr>
          </w:p>
        </w:tc>
        <w:tc>
          <w:tcPr>
            <w:tcW w:w="3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Compliance</w:t>
            </w: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and Compensation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3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63"/>
        </w:trPr>
        <w:tc>
          <w:tcPr>
            <w:tcW w:w="3080" w:type="dxa"/>
            <w:vAlign w:val="bottom"/>
            <w:gridSpan w:val="2"/>
          </w:tcPr>
          <w:p>
            <w:pPr>
              <w:spacing w:after="0"/>
              <w:rPr>
                <w:sz w:val="20"/>
                <w:szCs w:val="20"/>
                <w:color w:val="auto"/>
              </w:rPr>
            </w:pPr>
            <w:r>
              <w:rPr>
                <w:rFonts w:ascii="Arial" w:cs="Arial" w:eastAsia="Arial" w:hAnsi="Arial"/>
                <w:sz w:val="18"/>
                <w:szCs w:val="18"/>
                <w:color w:val="auto"/>
              </w:rPr>
              <w:t>David R. Carlucci</w:t>
            </w:r>
          </w:p>
        </w:tc>
        <w:tc>
          <w:tcPr>
            <w:tcW w:w="2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Member</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080" w:type="dxa"/>
            <w:vAlign w:val="bottom"/>
            <w:gridSpan w:val="2"/>
          </w:tcPr>
          <w:p>
            <w:pPr>
              <w:spacing w:after="0"/>
              <w:rPr>
                <w:sz w:val="20"/>
                <w:szCs w:val="20"/>
                <w:color w:val="auto"/>
              </w:rPr>
            </w:pPr>
            <w:r>
              <w:rPr>
                <w:rFonts w:ascii="Arial" w:cs="Arial" w:eastAsia="Arial" w:hAnsi="Arial"/>
                <w:sz w:val="18"/>
                <w:szCs w:val="18"/>
                <w:color w:val="auto"/>
              </w:rPr>
              <w:t>J. Martin Carroll</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Chair</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Member</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Paul R. Carter</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Member</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David Y. Norton</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Carlos V. Paya, M.D.</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Member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JoAnn A. Reed</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080" w:type="dxa"/>
            <w:vAlign w:val="bottom"/>
            <w:gridSpan w:val="2"/>
          </w:tcPr>
          <w:p>
            <w:pPr>
              <w:spacing w:after="0"/>
              <w:rPr>
                <w:sz w:val="20"/>
                <w:szCs w:val="20"/>
                <w:color w:val="auto"/>
              </w:rPr>
            </w:pPr>
            <w:r>
              <w:rPr>
                <w:rFonts w:ascii="Arial" w:cs="Arial" w:eastAsia="Arial" w:hAnsi="Arial"/>
                <w:sz w:val="18"/>
                <w:szCs w:val="18"/>
                <w:color w:val="auto"/>
              </w:rPr>
              <w:t>Angus C. Russell</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Member</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Anne C. Whitaker</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Member</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80" w:type="dxa"/>
            <w:vAlign w:val="bottom"/>
            <w:gridSpan w:val="2"/>
          </w:tcPr>
          <w:p>
            <w:pPr>
              <w:spacing w:after="0"/>
              <w:rPr>
                <w:sz w:val="20"/>
                <w:szCs w:val="20"/>
                <w:color w:val="auto"/>
              </w:rPr>
            </w:pPr>
            <w:r>
              <w:rPr>
                <w:rFonts w:ascii="Arial" w:cs="Arial" w:eastAsia="Arial" w:hAnsi="Arial"/>
                <w:sz w:val="18"/>
                <w:szCs w:val="18"/>
                <w:color w:val="auto"/>
              </w:rPr>
              <w:t>Kneeland C. Youngblood, M.D.</w:t>
            </w: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Member</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Each of the items listed below was submitted to a vote of shareholders at the 2021 Annual General Meeting on August 13, 2021 and is described in more detail in Mallinckrodt’s definitive proxy statement for the 2021 Annual General Meeting filed by the Company with the Securities and Exchange Commission on July 2, 2021 (the “Proxy Statement”). The final results for each of the matters submitted to a vote of shareholders are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To elect ten directors to hold office until the Company’s next Annual General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Nominees</w:t>
            </w: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For</w:t>
            </w:r>
          </w:p>
        </w:tc>
        <w:tc>
          <w:tcPr>
            <w:tcW w:w="220" w:type="dxa"/>
            <w:vAlign w:val="bottom"/>
            <w:vMerge w:val="restart"/>
          </w:tcPr>
          <w:p>
            <w:pPr>
              <w:spacing w:after="0"/>
              <w:rPr>
                <w:sz w:val="14"/>
                <w:szCs w:val="14"/>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Against</w:t>
            </w:r>
          </w:p>
        </w:tc>
        <w:tc>
          <w:tcPr>
            <w:tcW w:w="320" w:type="dxa"/>
            <w:vAlign w:val="bottom"/>
            <w:vMerge w:val="restart"/>
          </w:tcPr>
          <w:p>
            <w:pPr>
              <w:spacing w:after="0"/>
              <w:rPr>
                <w:sz w:val="14"/>
                <w:szCs w:val="14"/>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Abstain</w:t>
            </w:r>
          </w:p>
        </w:tc>
        <w:tc>
          <w:tcPr>
            <w:tcW w:w="340" w:type="dxa"/>
            <w:vAlign w:val="bottom"/>
            <w:vMerge w:val="restart"/>
          </w:tcPr>
          <w:p>
            <w:pPr>
              <w:spacing w:after="0"/>
              <w:rPr>
                <w:sz w:val="14"/>
                <w:szCs w:val="14"/>
                <w:color w:val="auto"/>
              </w:rPr>
            </w:pPr>
          </w:p>
        </w:tc>
        <w:tc>
          <w:tcPr>
            <w:tcW w:w="860" w:type="dxa"/>
            <w:vAlign w:val="bottom"/>
          </w:tcPr>
          <w:p>
            <w:pPr>
              <w:jc w:val="right"/>
              <w:ind w:right="135"/>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3760" w:type="dxa"/>
            <w:vAlign w:val="bottom"/>
            <w:tcBorders>
              <w:bottom w:val="single" w:sz="8" w:color="auto"/>
            </w:tcBorders>
            <w:gridSpan w:val="2"/>
            <w:vMerge w:val="continue"/>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64"/>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3400" w:type="dxa"/>
            <w:vAlign w:val="bottom"/>
          </w:tcPr>
          <w:p>
            <w:pPr>
              <w:ind w:left="160"/>
              <w:spacing w:after="0"/>
              <w:rPr>
                <w:sz w:val="20"/>
                <w:szCs w:val="20"/>
                <w:color w:val="auto"/>
              </w:rPr>
            </w:pPr>
            <w:r>
              <w:rPr>
                <w:rFonts w:ascii="Arial" w:cs="Arial" w:eastAsia="Arial" w:hAnsi="Arial"/>
                <w:sz w:val="18"/>
                <w:szCs w:val="18"/>
                <w:color w:val="auto"/>
              </w:rPr>
              <w:t>David R. Carlucci</w:t>
            </w:r>
          </w:p>
        </w:tc>
        <w:tc>
          <w:tcPr>
            <w:tcW w:w="4100" w:type="dxa"/>
            <w:vAlign w:val="bottom"/>
            <w:gridSpan w:val="4"/>
          </w:tcPr>
          <w:p>
            <w:pPr>
              <w:jc w:val="right"/>
              <w:ind w:right="220"/>
              <w:spacing w:after="0"/>
              <w:rPr>
                <w:sz w:val="20"/>
                <w:szCs w:val="20"/>
                <w:color w:val="auto"/>
              </w:rPr>
            </w:pPr>
            <w:r>
              <w:rPr>
                <w:rFonts w:ascii="Arial" w:cs="Arial" w:eastAsia="Arial" w:hAnsi="Arial"/>
                <w:sz w:val="18"/>
                <w:szCs w:val="18"/>
                <w:color w:val="auto"/>
              </w:rPr>
              <w:t>3,432,007</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7,242,543</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309,383</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34,559,443</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3400" w:type="dxa"/>
            <w:vAlign w:val="bottom"/>
          </w:tcPr>
          <w:p>
            <w:pPr>
              <w:ind w:left="160"/>
              <w:spacing w:after="0"/>
              <w:rPr>
                <w:sz w:val="20"/>
                <w:szCs w:val="20"/>
                <w:color w:val="auto"/>
              </w:rPr>
            </w:pPr>
            <w:r>
              <w:rPr>
                <w:rFonts w:ascii="Arial" w:cs="Arial" w:eastAsia="Arial" w:hAnsi="Arial"/>
                <w:sz w:val="18"/>
                <w:szCs w:val="18"/>
                <w:color w:val="auto"/>
              </w:rPr>
              <w:t>J. Martin Carroll</w:t>
            </w:r>
          </w:p>
        </w:tc>
        <w:tc>
          <w:tcPr>
            <w:tcW w:w="4100" w:type="dxa"/>
            <w:vAlign w:val="bottom"/>
            <w:gridSpan w:val="4"/>
          </w:tcPr>
          <w:p>
            <w:pPr>
              <w:jc w:val="right"/>
              <w:ind w:right="220"/>
              <w:spacing w:after="0"/>
              <w:rPr>
                <w:sz w:val="20"/>
                <w:szCs w:val="20"/>
                <w:color w:val="auto"/>
              </w:rPr>
            </w:pPr>
            <w:r>
              <w:rPr>
                <w:rFonts w:ascii="Arial" w:cs="Arial" w:eastAsia="Arial" w:hAnsi="Arial"/>
                <w:sz w:val="18"/>
                <w:szCs w:val="18"/>
                <w:color w:val="auto"/>
              </w:rPr>
              <w:t>3,423,935</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7,249,527</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310,471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34,559,443</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3400" w:type="dxa"/>
            <w:vAlign w:val="bottom"/>
          </w:tcPr>
          <w:p>
            <w:pPr>
              <w:ind w:left="160"/>
              <w:spacing w:after="0"/>
              <w:rPr>
                <w:sz w:val="20"/>
                <w:szCs w:val="20"/>
                <w:color w:val="auto"/>
              </w:rPr>
            </w:pPr>
            <w:r>
              <w:rPr>
                <w:rFonts w:ascii="Arial" w:cs="Arial" w:eastAsia="Arial" w:hAnsi="Arial"/>
                <w:sz w:val="18"/>
                <w:szCs w:val="18"/>
                <w:color w:val="auto"/>
              </w:rPr>
              <w:t>Paul R. Carter</w:t>
            </w:r>
          </w:p>
        </w:tc>
        <w:tc>
          <w:tcPr>
            <w:tcW w:w="4100" w:type="dxa"/>
            <w:vAlign w:val="bottom"/>
            <w:gridSpan w:val="4"/>
          </w:tcPr>
          <w:p>
            <w:pPr>
              <w:jc w:val="right"/>
              <w:ind w:right="220"/>
              <w:spacing w:after="0"/>
              <w:rPr>
                <w:sz w:val="20"/>
                <w:szCs w:val="20"/>
                <w:color w:val="auto"/>
              </w:rPr>
            </w:pPr>
            <w:r>
              <w:rPr>
                <w:rFonts w:ascii="Arial" w:cs="Arial" w:eastAsia="Arial" w:hAnsi="Arial"/>
                <w:sz w:val="18"/>
                <w:szCs w:val="18"/>
                <w:color w:val="auto"/>
              </w:rPr>
              <w:t>3,658,150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6,991,963</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333,820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34,559,443</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(d)</w:t>
            </w:r>
          </w:p>
        </w:tc>
        <w:tc>
          <w:tcPr>
            <w:tcW w:w="3400" w:type="dxa"/>
            <w:vAlign w:val="bottom"/>
          </w:tcPr>
          <w:p>
            <w:pPr>
              <w:ind w:left="160"/>
              <w:spacing w:after="0"/>
              <w:rPr>
                <w:sz w:val="20"/>
                <w:szCs w:val="20"/>
                <w:color w:val="auto"/>
              </w:rPr>
            </w:pPr>
            <w:r>
              <w:rPr>
                <w:rFonts w:ascii="Arial" w:cs="Arial" w:eastAsia="Arial" w:hAnsi="Arial"/>
                <w:sz w:val="18"/>
                <w:szCs w:val="18"/>
                <w:color w:val="auto"/>
              </w:rPr>
              <w:t>David Y. Norton</w:t>
            </w:r>
          </w:p>
        </w:tc>
        <w:tc>
          <w:tcPr>
            <w:tcW w:w="4100" w:type="dxa"/>
            <w:vAlign w:val="bottom"/>
            <w:gridSpan w:val="4"/>
          </w:tcPr>
          <w:p>
            <w:pPr>
              <w:jc w:val="right"/>
              <w:ind w:right="220"/>
              <w:spacing w:after="0"/>
              <w:rPr>
                <w:sz w:val="20"/>
                <w:szCs w:val="20"/>
                <w:color w:val="auto"/>
              </w:rPr>
            </w:pPr>
            <w:r>
              <w:rPr>
                <w:rFonts w:ascii="Arial" w:cs="Arial" w:eastAsia="Arial" w:hAnsi="Arial"/>
                <w:sz w:val="18"/>
                <w:szCs w:val="18"/>
                <w:color w:val="auto"/>
              </w:rPr>
              <w:t>3,431,745</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7,213,466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338,722</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34,559,443</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0"/>
                <w:szCs w:val="20"/>
                <w:color w:val="auto"/>
              </w:rPr>
            </w:pPr>
            <w:r>
              <w:rPr>
                <w:rFonts w:ascii="Arial" w:cs="Arial" w:eastAsia="Arial" w:hAnsi="Arial"/>
                <w:sz w:val="18"/>
                <w:szCs w:val="18"/>
                <w:color w:val="auto"/>
              </w:rPr>
              <w:t>(e)</w:t>
            </w:r>
          </w:p>
        </w:tc>
        <w:tc>
          <w:tcPr>
            <w:tcW w:w="3400" w:type="dxa"/>
            <w:vAlign w:val="bottom"/>
          </w:tcPr>
          <w:p>
            <w:pPr>
              <w:ind w:left="160"/>
              <w:spacing w:after="0"/>
              <w:rPr>
                <w:sz w:val="20"/>
                <w:szCs w:val="20"/>
                <w:color w:val="auto"/>
              </w:rPr>
            </w:pPr>
            <w:r>
              <w:rPr>
                <w:rFonts w:ascii="Arial" w:cs="Arial" w:eastAsia="Arial" w:hAnsi="Arial"/>
                <w:sz w:val="18"/>
                <w:szCs w:val="18"/>
                <w:color w:val="auto"/>
              </w:rPr>
              <w:t>Carlos V. Paya, M.D.</w:t>
            </w:r>
          </w:p>
        </w:tc>
        <w:tc>
          <w:tcPr>
            <w:tcW w:w="4100" w:type="dxa"/>
            <w:vAlign w:val="bottom"/>
            <w:gridSpan w:val="4"/>
          </w:tcPr>
          <w:p>
            <w:pPr>
              <w:jc w:val="right"/>
              <w:ind w:right="220"/>
              <w:spacing w:after="0"/>
              <w:rPr>
                <w:sz w:val="20"/>
                <w:szCs w:val="20"/>
                <w:color w:val="auto"/>
              </w:rPr>
            </w:pPr>
            <w:r>
              <w:rPr>
                <w:rFonts w:ascii="Arial" w:cs="Arial" w:eastAsia="Arial" w:hAnsi="Arial"/>
                <w:sz w:val="18"/>
                <w:szCs w:val="18"/>
                <w:color w:val="auto"/>
              </w:rPr>
              <w:t>3,666,678</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6,981,438</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335,817</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34,559,443</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0" w:type="dxa"/>
            <w:vAlign w:val="bottom"/>
          </w:tcPr>
          <w:p>
            <w:pPr>
              <w:jc w:val="right"/>
              <w:ind w:right="1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(f)</w:t>
            </w:r>
          </w:p>
        </w:tc>
        <w:tc>
          <w:tcPr>
            <w:tcW w:w="4500" w:type="dxa"/>
            <w:vAlign w:val="bottom"/>
          </w:tcPr>
          <w:p>
            <w:pPr>
              <w:ind w:left="160"/>
              <w:spacing w:after="0"/>
              <w:rPr>
                <w:sz w:val="20"/>
                <w:szCs w:val="20"/>
                <w:color w:val="auto"/>
              </w:rPr>
            </w:pPr>
            <w:r>
              <w:rPr>
                <w:rFonts w:ascii="Arial" w:cs="Arial" w:eastAsia="Arial" w:hAnsi="Arial"/>
                <w:sz w:val="18"/>
                <w:szCs w:val="18"/>
                <w:color w:val="auto"/>
              </w:rPr>
              <w:t>JoAnn A. Reed</w:t>
            </w:r>
          </w:p>
        </w:tc>
        <w:tc>
          <w:tcPr>
            <w:tcW w:w="2920" w:type="dxa"/>
            <w:vAlign w:val="bottom"/>
          </w:tcPr>
          <w:p>
            <w:pPr>
              <w:jc w:val="right"/>
              <w:ind w:right="50"/>
              <w:spacing w:after="0"/>
              <w:rPr>
                <w:sz w:val="20"/>
                <w:szCs w:val="20"/>
                <w:color w:val="auto"/>
              </w:rPr>
            </w:pPr>
            <w:r>
              <w:rPr>
                <w:rFonts w:ascii="Arial" w:cs="Arial" w:eastAsia="Arial" w:hAnsi="Arial"/>
                <w:sz w:val="18"/>
                <w:szCs w:val="18"/>
                <w:color w:val="auto"/>
              </w:rPr>
              <w:t>3,692,055</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6,949,228</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342,650</w:t>
            </w:r>
          </w:p>
        </w:tc>
        <w:tc>
          <w:tcPr>
            <w:tcW w:w="1000" w:type="dxa"/>
            <w:vAlign w:val="bottom"/>
          </w:tcPr>
          <w:p>
            <w:pPr>
              <w:jc w:val="right"/>
              <w:spacing w:after="0"/>
              <w:rPr>
                <w:sz w:val="20"/>
                <w:szCs w:val="20"/>
                <w:color w:val="auto"/>
              </w:rPr>
            </w:pPr>
            <w:r>
              <w:rPr>
                <w:rFonts w:ascii="Arial" w:cs="Arial" w:eastAsia="Arial" w:hAnsi="Arial"/>
                <w:sz w:val="18"/>
                <w:szCs w:val="18"/>
                <w:color w:val="auto"/>
              </w:rPr>
              <w:t>34,559,443</w:t>
            </w:r>
          </w:p>
        </w:tc>
      </w:tr>
      <w:tr>
        <w:trPr>
          <w:trHeight w:val="284"/>
        </w:trPr>
        <w:tc>
          <w:tcPr>
            <w:tcW w:w="360" w:type="dxa"/>
            <w:vAlign w:val="bottom"/>
          </w:tcPr>
          <w:p>
            <w:pPr>
              <w:spacing w:after="0"/>
              <w:rPr>
                <w:sz w:val="20"/>
                <w:szCs w:val="20"/>
                <w:color w:val="auto"/>
              </w:rPr>
            </w:pPr>
            <w:r>
              <w:rPr>
                <w:rFonts w:ascii="Arial" w:cs="Arial" w:eastAsia="Arial" w:hAnsi="Arial"/>
                <w:sz w:val="18"/>
                <w:szCs w:val="18"/>
                <w:color w:val="auto"/>
              </w:rPr>
              <w:t>(g)</w:t>
            </w:r>
          </w:p>
        </w:tc>
        <w:tc>
          <w:tcPr>
            <w:tcW w:w="4500" w:type="dxa"/>
            <w:vAlign w:val="bottom"/>
          </w:tcPr>
          <w:p>
            <w:pPr>
              <w:ind w:left="160"/>
              <w:spacing w:after="0"/>
              <w:rPr>
                <w:sz w:val="20"/>
                <w:szCs w:val="20"/>
                <w:color w:val="auto"/>
              </w:rPr>
            </w:pPr>
            <w:r>
              <w:rPr>
                <w:rFonts w:ascii="Arial" w:cs="Arial" w:eastAsia="Arial" w:hAnsi="Arial"/>
                <w:sz w:val="18"/>
                <w:szCs w:val="18"/>
                <w:color w:val="auto"/>
              </w:rPr>
              <w:t>Angus C. Russell</w:t>
            </w:r>
          </w:p>
        </w:tc>
        <w:tc>
          <w:tcPr>
            <w:tcW w:w="2920" w:type="dxa"/>
            <w:vAlign w:val="bottom"/>
          </w:tcPr>
          <w:p>
            <w:pPr>
              <w:jc w:val="right"/>
              <w:ind w:right="50"/>
              <w:spacing w:after="0"/>
              <w:rPr>
                <w:sz w:val="20"/>
                <w:szCs w:val="20"/>
                <w:color w:val="auto"/>
              </w:rPr>
            </w:pPr>
            <w:r>
              <w:rPr>
                <w:rFonts w:ascii="Arial" w:cs="Arial" w:eastAsia="Arial" w:hAnsi="Arial"/>
                <w:sz w:val="18"/>
                <w:szCs w:val="18"/>
                <w:color w:val="auto"/>
              </w:rPr>
              <w:t>3,282,877</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7,387,618</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313,438</w:t>
            </w:r>
          </w:p>
        </w:tc>
        <w:tc>
          <w:tcPr>
            <w:tcW w:w="1000" w:type="dxa"/>
            <w:vAlign w:val="bottom"/>
          </w:tcPr>
          <w:p>
            <w:pPr>
              <w:jc w:val="right"/>
              <w:spacing w:after="0"/>
              <w:rPr>
                <w:sz w:val="20"/>
                <w:szCs w:val="20"/>
                <w:color w:val="auto"/>
              </w:rPr>
            </w:pPr>
            <w:r>
              <w:rPr>
                <w:rFonts w:ascii="Arial" w:cs="Arial" w:eastAsia="Arial" w:hAnsi="Arial"/>
                <w:sz w:val="18"/>
                <w:szCs w:val="18"/>
                <w:color w:val="auto"/>
              </w:rPr>
              <w:t>34,559,443</w:t>
            </w: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(h)</w:t>
            </w:r>
          </w:p>
        </w:tc>
        <w:tc>
          <w:tcPr>
            <w:tcW w:w="4500" w:type="dxa"/>
            <w:vAlign w:val="bottom"/>
          </w:tcPr>
          <w:p>
            <w:pPr>
              <w:ind w:left="160"/>
              <w:spacing w:after="0"/>
              <w:rPr>
                <w:sz w:val="20"/>
                <w:szCs w:val="20"/>
                <w:color w:val="auto"/>
              </w:rPr>
            </w:pPr>
            <w:r>
              <w:rPr>
                <w:rFonts w:ascii="Arial" w:cs="Arial" w:eastAsia="Arial" w:hAnsi="Arial"/>
                <w:sz w:val="18"/>
                <w:szCs w:val="18"/>
                <w:color w:val="auto"/>
              </w:rPr>
              <w:t>Mark C. Trudeau</w:t>
            </w:r>
          </w:p>
        </w:tc>
        <w:tc>
          <w:tcPr>
            <w:tcW w:w="2920" w:type="dxa"/>
            <w:vAlign w:val="bottom"/>
          </w:tcPr>
          <w:p>
            <w:pPr>
              <w:jc w:val="right"/>
              <w:ind w:right="50"/>
              <w:spacing w:after="0"/>
              <w:rPr>
                <w:sz w:val="20"/>
                <w:szCs w:val="20"/>
                <w:color w:val="auto"/>
              </w:rPr>
            </w:pPr>
            <w:r>
              <w:rPr>
                <w:rFonts w:ascii="Arial" w:cs="Arial" w:eastAsia="Arial" w:hAnsi="Arial"/>
                <w:sz w:val="18"/>
                <w:szCs w:val="18"/>
                <w:color w:val="auto"/>
              </w:rPr>
              <w:t>3,478,254</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7,193,804</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311,875</w:t>
            </w:r>
          </w:p>
        </w:tc>
        <w:tc>
          <w:tcPr>
            <w:tcW w:w="1000" w:type="dxa"/>
            <w:vAlign w:val="bottom"/>
          </w:tcPr>
          <w:p>
            <w:pPr>
              <w:jc w:val="right"/>
              <w:spacing w:after="0"/>
              <w:rPr>
                <w:sz w:val="20"/>
                <w:szCs w:val="20"/>
                <w:color w:val="auto"/>
              </w:rPr>
            </w:pPr>
            <w:r>
              <w:rPr>
                <w:rFonts w:ascii="Arial" w:cs="Arial" w:eastAsia="Arial" w:hAnsi="Arial"/>
                <w:sz w:val="18"/>
                <w:szCs w:val="18"/>
                <w:color w:val="auto"/>
              </w:rPr>
              <w:t>34,559,443</w:t>
            </w: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(i)</w:t>
            </w:r>
          </w:p>
        </w:tc>
        <w:tc>
          <w:tcPr>
            <w:tcW w:w="4500" w:type="dxa"/>
            <w:vAlign w:val="bottom"/>
          </w:tcPr>
          <w:p>
            <w:pPr>
              <w:ind w:left="160"/>
              <w:spacing w:after="0"/>
              <w:rPr>
                <w:sz w:val="20"/>
                <w:szCs w:val="20"/>
                <w:color w:val="auto"/>
              </w:rPr>
            </w:pPr>
            <w:r>
              <w:rPr>
                <w:rFonts w:ascii="Arial" w:cs="Arial" w:eastAsia="Arial" w:hAnsi="Arial"/>
                <w:sz w:val="18"/>
                <w:szCs w:val="18"/>
                <w:color w:val="auto"/>
              </w:rPr>
              <w:t>Anne C. Whitaker</w:t>
            </w:r>
          </w:p>
        </w:tc>
        <w:tc>
          <w:tcPr>
            <w:tcW w:w="2920" w:type="dxa"/>
            <w:vAlign w:val="bottom"/>
          </w:tcPr>
          <w:p>
            <w:pPr>
              <w:jc w:val="right"/>
              <w:ind w:right="50"/>
              <w:spacing w:after="0"/>
              <w:rPr>
                <w:sz w:val="20"/>
                <w:szCs w:val="20"/>
                <w:color w:val="auto"/>
              </w:rPr>
            </w:pPr>
            <w:r>
              <w:rPr>
                <w:rFonts w:ascii="Arial" w:cs="Arial" w:eastAsia="Arial" w:hAnsi="Arial"/>
                <w:sz w:val="18"/>
                <w:szCs w:val="18"/>
                <w:color w:val="auto"/>
              </w:rPr>
              <w:t>3,438,642</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7,202,668</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342,623</w:t>
            </w:r>
          </w:p>
        </w:tc>
        <w:tc>
          <w:tcPr>
            <w:tcW w:w="1000" w:type="dxa"/>
            <w:vAlign w:val="bottom"/>
          </w:tcPr>
          <w:p>
            <w:pPr>
              <w:jc w:val="right"/>
              <w:spacing w:after="0"/>
              <w:rPr>
                <w:sz w:val="20"/>
                <w:szCs w:val="20"/>
                <w:color w:val="auto"/>
              </w:rPr>
            </w:pPr>
            <w:r>
              <w:rPr>
                <w:rFonts w:ascii="Arial" w:cs="Arial" w:eastAsia="Arial" w:hAnsi="Arial"/>
                <w:sz w:val="18"/>
                <w:szCs w:val="18"/>
                <w:color w:val="auto"/>
              </w:rPr>
              <w:t>34,559,443</w:t>
            </w: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(j)</w:t>
            </w:r>
          </w:p>
        </w:tc>
        <w:tc>
          <w:tcPr>
            <w:tcW w:w="4500" w:type="dxa"/>
            <w:vAlign w:val="bottom"/>
          </w:tcPr>
          <w:p>
            <w:pPr>
              <w:ind w:left="160"/>
              <w:spacing w:after="0"/>
              <w:rPr>
                <w:sz w:val="20"/>
                <w:szCs w:val="20"/>
                <w:color w:val="auto"/>
              </w:rPr>
            </w:pPr>
            <w:r>
              <w:rPr>
                <w:rFonts w:ascii="Arial" w:cs="Arial" w:eastAsia="Arial" w:hAnsi="Arial"/>
                <w:sz w:val="18"/>
                <w:szCs w:val="18"/>
                <w:color w:val="auto"/>
              </w:rPr>
              <w:t>Kneeland C. Youngblood, M.D.</w:t>
            </w:r>
          </w:p>
        </w:tc>
        <w:tc>
          <w:tcPr>
            <w:tcW w:w="2920" w:type="dxa"/>
            <w:vAlign w:val="bottom"/>
          </w:tcPr>
          <w:p>
            <w:pPr>
              <w:jc w:val="right"/>
              <w:ind w:right="50"/>
              <w:spacing w:after="0"/>
              <w:rPr>
                <w:sz w:val="20"/>
                <w:szCs w:val="20"/>
                <w:color w:val="auto"/>
              </w:rPr>
            </w:pPr>
            <w:r>
              <w:rPr>
                <w:rFonts w:ascii="Arial" w:cs="Arial" w:eastAsia="Arial" w:hAnsi="Arial"/>
                <w:sz w:val="18"/>
                <w:szCs w:val="18"/>
                <w:color w:val="auto"/>
              </w:rPr>
              <w:t>3,534,644</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7,114,884</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334,405</w:t>
            </w:r>
          </w:p>
        </w:tc>
        <w:tc>
          <w:tcPr>
            <w:tcW w:w="1000" w:type="dxa"/>
            <w:vAlign w:val="bottom"/>
          </w:tcPr>
          <w:p>
            <w:pPr>
              <w:jc w:val="right"/>
              <w:spacing w:after="0"/>
              <w:rPr>
                <w:sz w:val="20"/>
                <w:szCs w:val="20"/>
                <w:color w:val="auto"/>
              </w:rPr>
            </w:pPr>
            <w:r>
              <w:rPr>
                <w:rFonts w:ascii="Arial" w:cs="Arial" w:eastAsia="Arial" w:hAnsi="Arial"/>
                <w:sz w:val="18"/>
                <w:szCs w:val="18"/>
                <w:color w:val="auto"/>
              </w:rPr>
              <w:t>34,559,443</w:t>
            </w:r>
          </w:p>
        </w:tc>
      </w:tr>
    </w:tbl>
    <w:p>
      <w:pPr>
        <w:spacing w:after="0" w:line="198"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To approve in a non-binding advisory vote, the re-appointment of Deloitte &amp; Touche LLP as the independent auditors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to authorize, in a binding vote, the Audit Committee of the Board of Directors to set the auditors’ remuneration: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For: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Against:</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24"/>
        </w:trPr>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28,859,665</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16,304,568</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rPr>
              <w:t>379,143</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1199"/>
              <w:spacing w:after="0"/>
              <w:rPr>
                <w:sz w:val="20"/>
                <w:szCs w:val="20"/>
                <w:color w:val="auto"/>
              </w:rPr>
            </w:pPr>
            <w:r>
              <w:rPr>
                <w:rFonts w:ascii="Arial" w:cs="Arial" w:eastAsia="Arial" w:hAnsi="Arial"/>
                <w:sz w:val="18"/>
                <w:szCs w:val="18"/>
                <w:color w:val="auto"/>
              </w:rPr>
              <w:t>0</w:t>
            </w:r>
          </w:p>
        </w:tc>
      </w:tr>
    </w:tbl>
    <w:p>
      <w:pPr>
        <w:spacing w:after="0" w:line="183"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To approve, in a non-binding advisory vote, the compensation of the Company’s named executive officers described in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For:</w:t>
            </w: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Against:</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Abstain:</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Broker Non-Votes:</w:t>
            </w:r>
          </w:p>
        </w:tc>
      </w:tr>
      <w:tr>
        <w:trPr>
          <w:trHeight w:val="224"/>
        </w:trPr>
        <w:tc>
          <w:tcPr>
            <w:tcW w:w="262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2,510,675</w:t>
            </w:r>
          </w:p>
        </w:tc>
        <w:tc>
          <w:tcPr>
            <w:tcW w:w="160" w:type="dxa"/>
            <w:vAlign w:val="bottom"/>
          </w:tcPr>
          <w:p>
            <w:pPr>
              <w:spacing w:after="0"/>
              <w:rPr>
                <w:sz w:val="19"/>
                <w:szCs w:val="19"/>
                <w:color w:val="auto"/>
              </w:rPr>
            </w:pPr>
          </w:p>
        </w:tc>
        <w:tc>
          <w:tcPr>
            <w:tcW w:w="262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8,159,759</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rPr>
              <w:t>313,499</w:t>
            </w:r>
          </w:p>
        </w:tc>
        <w:tc>
          <w:tcPr>
            <w:tcW w:w="100" w:type="dxa"/>
            <w:vAlign w:val="bottom"/>
          </w:tcPr>
          <w:p>
            <w:pPr>
              <w:spacing w:after="0"/>
              <w:rPr>
                <w:sz w:val="19"/>
                <w:szCs w:val="19"/>
                <w:color w:val="auto"/>
              </w:rPr>
            </w:pPr>
          </w:p>
        </w:tc>
        <w:tc>
          <w:tcPr>
            <w:tcW w:w="26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rPr>
              <w:t>34,559,443</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368" w:right="4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MALLINCKRODT PLC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Stephanie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Stephanie D. Miller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Vice President, General Counsel, International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Corporate Secretary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2021</w:t>
      </w: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2021-08-13T15:47:58Z</dcterms:created>
  <dcterms:modified xsi:type="dcterms:W3CDTF">2021-08-13T15:47:58Z</dcterms:modified>
</cp:coreProperties>
</file>