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1133-1_4seq1.xml.htm"/>
      <w:bookmarkStart w:id="1" w:name="kstm2621133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Stouch Cheryl Ann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675 MCDONNELL BLVD.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HAZELWOOD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63042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Keenova Therapeutics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NONE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Chief Info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3"/>
        <w:gridCol w:w="904"/>
        <w:gridCol w:w="772"/>
        <w:gridCol w:w="600"/>
        <w:gridCol w:w="354"/>
        <w:gridCol w:w="824"/>
        <w:gridCol w:w="470"/>
        <w:gridCol w:w="632"/>
        <w:gridCol w:w="1189"/>
        <w:gridCol w:w="1016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328</w:t>
            </w:r>
          </w:p>
        </w:tc>
        <w:tc>
          <w:tcPr>
            <w:tcW w:w="4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1,440</w:t>
            </w:r>
          </w:p>
        </w:tc>
        <w:tc>
          <w:tcPr>
            <w:tcW w:w="10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number of ordinary shares withheld to satisfy tax withholding obligations arising out the vesting of restricted stock units ("RSUs"), which vested on April 23, 2026, is based on a percentage and did not take into account any market value as the Issuer's ordinary shares are not listed or quoted on a recognized trading market.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Mark Tyndall,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77699" TargetMode="External"/><Relationship Id="rId5" Type="http://schemas.openxmlformats.org/officeDocument/2006/relationships/hyperlink" Target="http://www.sec.gov/cgi-bin/browse-edgar?action=getcompany&amp;CIK=000156789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620</Words>
  <Characters>3348</Characters>
  <CharactersWithSpaces>3901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