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5950d1_sd.htm"/>
      <w:bookmarkStart w:id="1" w:name="kstm2615950d1_sd"/>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Specialized Disclosure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 xml:space="preserve">Keenova Therapeutics plc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2165"/>
        <w:gridCol w:w="60"/>
        <w:gridCol w:w="1115"/>
      </w:tblGrid>
      <w:tr>
        <w:trPr/>
        <w:tc>
          <w:tcPr>
            <w:tcW w:w="21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Ireland</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001-35803</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College Business &amp; Technology Park, Cruiserath,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Blanchardstown, Dublin 15, Ireland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Tyndall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Vice President, Chief Legal Officer &amp; Corporate 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(908) 238-6600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telephone number, including area code,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person to contact in connection with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indicate the rule pursuant to which this form is being filed, and provide the period to which the information in this form applies: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Rule 13p-1 under the Securities Exchange Act (17 CFR 240.13p-1) for the reporting period from January 1 to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 Conflict Minerals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Conflict Minerals Disclosure and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Keenova Therapeutics plc’s Conflict Minerals Report (“CMR”) for the calendar year ended December 31, 2025 is filed, in accordance with Rule 13p-1 of the Securities and Exchange Act of 1934, as an Exhibit to this Specialized Disclosure Form (“Form SD”) and is publicly available at </w:t>
      </w:r>
      <w:r>
        <w:rPr>
          <w:rFonts w:ascii="Times New Roman;Times;Serif" w:hAnsi="Times New Roman;Times;Serif"/>
          <w:b w:val="false"/>
          <w:i/>
          <w:caps w:val="false"/>
          <w:smallCaps w:val="false"/>
          <w:sz w:val="20"/>
        </w:rPr>
        <w:t>https://investor.keenova.com/financial-information/sec-filings</w:t>
      </w:r>
      <w:r>
        <w:rPr>
          <w:rFonts w:ascii="Times New Roman;Times;Serif" w:hAnsi="Times New Roman;Times;Serif"/>
          <w:b w:val="false"/>
          <w:i w:val="false"/>
          <w:caps w:val="false"/>
          <w:smallCaps w:val="false"/>
          <w:sz w:val="20"/>
        </w:rPr>
        <w:t>. The content of any website referred to in this Form SD is included for general information only and is not incorporated by reference in this Form SD or the CMR.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CMR required by Item 1.01 is filed as Exhibit 1.01 to this Form SD.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 Resource Extraction Issuer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Resource Extraction Issuer Disclosure and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Exhibits</w:t>
      </w:r>
    </w:p>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1055"/>
        <w:gridCol w:w="6350"/>
      </w:tblGrid>
      <w:tr>
        <w:trPr/>
        <w:tc>
          <w:tcPr>
            <w:tcW w:w="1055" w:type="dxa"/>
            <w:tcBorders/>
            <w:vAlign w:val="center"/>
          </w:tcPr>
          <w:p>
            <w:pPr>
              <w:pStyle w:val="TableContents"/>
              <w:bidi w:val="0"/>
              <w:spacing w:before="0" w:after="283"/>
              <w:jc w:val="both"/>
              <w:rPr/>
            </w:pPr>
            <w:hyperlink w:anchor="tm2615950d1_ex1-01.htm">
              <w:r>
                <w:rPr>
                  <w:rStyle w:val="InternetLink"/>
                  <w:rFonts w:ascii="Times New Roman;Times;Serif" w:hAnsi="Times New Roman;Times;Serif"/>
                  <w:sz w:val="20"/>
                </w:rPr>
                <w:t>Exhibit 1.01</w:t>
              </w:r>
            </w:hyperlink>
          </w:p>
        </w:tc>
        <w:tc>
          <w:tcPr>
            <w:tcW w:w="6350" w:type="dxa"/>
            <w:tcBorders/>
            <w:vAlign w:val="center"/>
          </w:tcPr>
          <w:p>
            <w:pPr>
              <w:pStyle w:val="TableContents"/>
              <w:bidi w:val="0"/>
              <w:spacing w:before="0" w:after="283"/>
              <w:jc w:val="left"/>
              <w:rPr/>
            </w:pPr>
            <w:hyperlink w:anchor="tm2615950d1_ex1-01.htm">
              <w:r>
                <w:rPr>
                  <w:rStyle w:val="InternetLink"/>
                  <w:rFonts w:ascii="Times New Roman;Times;Serif" w:hAnsi="Times New Roman;Times;Serif"/>
                  <w:sz w:val="20"/>
                </w:rPr>
                <w:t>- Conflict Minerals Report as required by Items 1.01 and 1.02 of this Form SD.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duly authorized undersigned.</w:t>
      </w:r>
    </w:p>
    <w:p>
      <w:pPr>
        <w:pStyle w:val="TextBody"/>
        <w:bidi w:val="0"/>
        <w:spacing w:before="0" w:after="0"/>
        <w:ind w:left="0" w:right="0" w:hanging="0"/>
        <w:jc w:val="left"/>
        <w:rPr>
          <w:caps w:val="false"/>
          <w:smallCaps w:val="false"/>
        </w:rPr>
      </w:pPr>
      <w:r>
        <w:rPr>
          <w:caps w:val="false"/>
          <w:smallCaps w:val="false"/>
        </w:rPr>
        <w:t> </w:t>
      </w:r>
    </w:p>
    <w:tbl>
      <w:tblPr>
        <w:tblW w:w="7805" w:type="dxa"/>
        <w:jc w:val="left"/>
        <w:tblInd w:w="0" w:type="dxa"/>
        <w:tblLayout w:type="fixed"/>
        <w:tblCellMar>
          <w:top w:w="0" w:type="dxa"/>
          <w:left w:w="0" w:type="dxa"/>
          <w:bottom w:w="0" w:type="dxa"/>
          <w:right w:w="0" w:type="dxa"/>
        </w:tblCellMar>
      </w:tblPr>
      <w:tblGrid>
        <w:gridCol w:w="560"/>
        <w:gridCol w:w="5555"/>
        <w:gridCol w:w="60"/>
        <w:gridCol w:w="455"/>
        <w:gridCol w:w="1175"/>
      </w:tblGrid>
      <w:tr>
        <w:trPr/>
        <w:tc>
          <w:tcPr>
            <w:tcW w:w="5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KEENOVA THERAPEUTICS PLC</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Tyndall</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29, 2026</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Tyndall</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Legal Officer &amp; Corporate Secretary</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tm2615950d1_ex1-01.htm"/>
      <w:bookmarkStart w:id="3" w:name="kstm2615950d1_ex10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 Minerals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 Therapeutics plc, formerly Mallinckrodt plc, is a global business consisting of multiple wholly owned subsidiaries (collectively, “Keenova” or “the Company”) that develop, manufacture and commercialize a portfolio of branded therapeutics for the treatment of rare or unaddressed diseases in the specialty areas of rheumatology, ophthalmology, nephrology, neurology, pulmonology, orthopedics, urology, and neonatal respiratory critical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Conflict Minerals Report (“CMR”) for the reporting period of January 1 through December 31, 2025 (“the Reporting Period”) is presented to comply with Rule 13p-1 under the Securities Exchange Act of 1934 (“the Rule”). The Rule imposes certain reporting obligations on U.S. Securities and Exchange Commission (“SEC”) issuers whose manufactured products contain certain minerals which are necessary to the functionality or production of their products. These minerals are cassiterite, columbite-tantalite (coltan), gold, wolframite, and their derivatives, which are limited to tin, tantalum and tungsten (“3TG(s)” or “Conflict Minerals”). The Rule focuses on 3TG emanating from the Democratic Republic of the Congo (“DRC”) region and nine adjoining countries (together, the “Covered Countries”). If an issuer has reason to believe that any of the Conflict Minerals in their supply chain may have originated in the Covered Countries, or if they are unable to determine the country of origin of those Conflict Minerals, then the issuer must exercise due diligence on the Conflict Minerals’ source and chain of custody and submit a CMR to the SEC that includes a description of those due diligence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CMR relates to the process undertaken for Keenova products that were manufactured, or contracted to be manufactured, during the Reporting Period and that contain Conflict Minerals. The Company's policy with respect to the sourcing of conflict minerals (the “Conflict Minerals Policy”) can be found on its website at https://www.keenova.com/company/policies/.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 performed a Reasonable Country of Origin Inquiry (“RCOI”) on suppliers believed to provide Keenova with materials or components containing 3TGs necessary to the manufacture of Keenova’s medical device products. Keenova’s suppliers listed 334 valid smelters and refineries (“smelters”) as possible sources for 3TGs in their components. Of the 334 listed smelters, Keenova identified 48 that may be sourcing from the Covered Countries. Keenova’s due diligence review indicated that 32 of these smelters have been audited and are conformant to the Responsible Minerals Assurance Process (“RMAP”). The remaining 16 smelters were subject to Keenova’s risk mitigation process consistent with the Organisation for Economic Co-operation and Development (“OECD”) Due Diligence Guidance for Responsible Supply Chain of Minerals from Conflict-Affected and High-Risk Areas (“OECD Due Diligence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Management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Keenova’s strong management systems were established consistent with Step 1 of the OECD Due Diligence Guidance. Keenova’s management systems include:</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Step 1A - A company policy for the supply chain of minerals originating from conflict-affected and high-risk areas:</w:t>
            </w:r>
          </w:p>
        </w:tc>
      </w:tr>
    </w:tbl>
    <w:tbl>
      <w:tblPr>
        <w:tblW w:w="5000" w:type="pct"/>
        <w:jc w:val="left"/>
        <w:tblInd w:w="0" w:type="dxa"/>
        <w:tblLayout w:type="fixed"/>
        <w:tblCellMar>
          <w:top w:w="0" w:type="dxa"/>
          <w:left w:w="0" w:type="dxa"/>
          <w:bottom w:w="0" w:type="dxa"/>
          <w:right w:w="0" w:type="dxa"/>
        </w:tblCellMar>
      </w:tblPr>
      <w:tblGrid>
        <w:gridCol w:w="81"/>
        <w:gridCol w:w="1824"/>
        <w:gridCol w:w="8300"/>
      </w:tblGrid>
      <w:tr>
        <w:trPr/>
        <w:tc>
          <w:tcPr>
            <w:tcW w:w="8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pPr>
            <w:r>
              <w:rPr/>
              <w:t>&amp;squarf;</w:t>
            </w:r>
          </w:p>
        </w:tc>
        <w:tc>
          <w:tcPr>
            <w:tcW w:w="8300" w:type="dxa"/>
            <w:tcBorders/>
            <w:vAlign w:val="center"/>
          </w:tcPr>
          <w:p>
            <w:pPr>
              <w:pStyle w:val="TableContents"/>
              <w:bidi w:val="0"/>
              <w:spacing w:before="0" w:after="283"/>
              <w:jc w:val="left"/>
              <w:rPr/>
            </w:pPr>
            <w:r>
              <w:rPr/>
              <w:t>Implemented a Conflict Minerals policy:</w:t>
            </w:r>
          </w:p>
        </w:tc>
      </w:tr>
    </w:tbl>
    <w:tbl>
      <w:tblPr>
        <w:tblW w:w="5000" w:type="pct"/>
        <w:jc w:val="left"/>
        <w:tblInd w:w="0" w:type="dxa"/>
        <w:tblLayout w:type="fixed"/>
        <w:tblCellMar>
          <w:top w:w="0" w:type="dxa"/>
          <w:left w:w="0" w:type="dxa"/>
          <w:bottom w:w="0" w:type="dxa"/>
          <w:right w:w="0" w:type="dxa"/>
        </w:tblCellMar>
      </w:tblPr>
      <w:tblGrid>
        <w:gridCol w:w="47"/>
        <w:gridCol w:w="139"/>
        <w:gridCol w:w="10019"/>
      </w:tblGrid>
      <w:tr>
        <w:trPr/>
        <w:tc>
          <w:tcPr>
            <w:tcW w:w="4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pPr>
            <w:r>
              <w:rPr/>
              <w:t>•</w:t>
            </w:r>
          </w:p>
        </w:tc>
        <w:tc>
          <w:tcPr>
            <w:tcW w:w="10019" w:type="dxa"/>
            <w:tcBorders/>
            <w:vAlign w:val="center"/>
          </w:tcPr>
          <w:p>
            <w:pPr>
              <w:pStyle w:val="TableContents"/>
              <w:bidi w:val="0"/>
              <w:spacing w:before="0" w:after="283"/>
              <w:jc w:val="left"/>
              <w:rPr/>
            </w:pPr>
            <w:r>
              <w:rPr/>
              <w:t>Policy made publicly available at https://www.keenova.com/company/policies/;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Policy communicated directly to suppliers as part of the contracting process and as part of the Reasonable Country of Origin Inquiry (“RCOI”) process.</w:t>
            </w:r>
          </w:p>
        </w:tc>
      </w:tr>
    </w:tbl>
    <w:tbl>
      <w:tblPr>
        <w:tblW w:w="5000" w:type="pct"/>
        <w:jc w:val="left"/>
        <w:tblInd w:w="0" w:type="dxa"/>
        <w:tblLayout w:type="fixed"/>
        <w:tblCellMar>
          <w:top w:w="0" w:type="dxa"/>
          <w:left w:w="0" w:type="dxa"/>
          <w:bottom w:w="0" w:type="dxa"/>
          <w:right w:w="0" w:type="dxa"/>
        </w:tblCellMar>
      </w:tblPr>
      <w:tblGrid>
        <w:gridCol w:w="79"/>
        <w:gridCol w:w="1773"/>
        <w:gridCol w:w="8353"/>
      </w:tblGrid>
      <w:tr>
        <w:trPr/>
        <w:tc>
          <w:tcPr>
            <w:tcW w:w="79"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pPr>
            <w:r>
              <w:rPr/>
              <w:t>&amp;squarf;</w:t>
            </w:r>
          </w:p>
        </w:tc>
        <w:tc>
          <w:tcPr>
            <w:tcW w:w="8353" w:type="dxa"/>
            <w:tcBorders/>
            <w:vAlign w:val="center"/>
          </w:tcPr>
          <w:p>
            <w:pPr>
              <w:pStyle w:val="TableContents"/>
              <w:bidi w:val="0"/>
              <w:spacing w:before="0" w:after="283"/>
              <w:jc w:val="left"/>
              <w:rPr/>
            </w:pPr>
            <w:r>
              <w:rPr/>
              <w:t>Implemented a Supplier Code of Conduct</w:t>
            </w:r>
          </w:p>
        </w:tc>
      </w:tr>
    </w:tbl>
    <w:tbl>
      <w:tblPr>
        <w:tblW w:w="5000" w:type="pct"/>
        <w:jc w:val="left"/>
        <w:tblInd w:w="0" w:type="dxa"/>
        <w:tblLayout w:type="fixed"/>
        <w:tblCellMar>
          <w:top w:w="0" w:type="dxa"/>
          <w:left w:w="0" w:type="dxa"/>
          <w:bottom w:w="0" w:type="dxa"/>
          <w:right w:w="0" w:type="dxa"/>
        </w:tblCellMar>
      </w:tblPr>
      <w:tblGrid>
        <w:gridCol w:w="62"/>
        <w:gridCol w:w="181"/>
        <w:gridCol w:w="9962"/>
      </w:tblGrid>
      <w:tr>
        <w:trPr/>
        <w:tc>
          <w:tcPr>
            <w:tcW w:w="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62" w:type="dxa"/>
            <w:tcBorders/>
            <w:vAlign w:val="center"/>
          </w:tcPr>
          <w:p>
            <w:pPr>
              <w:pStyle w:val="TableContents"/>
              <w:bidi w:val="0"/>
              <w:spacing w:before="0" w:after="283"/>
              <w:jc w:val="left"/>
              <w:rPr/>
            </w:pPr>
            <w:r>
              <w:rPr/>
              <w:t>Code available at https://www.keenova.com/company/policies/</w:t>
            </w:r>
            <w:r>
              <w:rPr>
                <w:u w:val="single"/>
              </w:rPr>
              <w:t>;</w:t>
            </w:r>
          </w:p>
        </w:tc>
      </w:tr>
    </w:tbl>
    <w:tbl>
      <w:tblPr>
        <w:tblW w:w="5000" w:type="pct"/>
        <w:jc w:val="left"/>
        <w:tblInd w:w="0" w:type="dxa"/>
        <w:tblLayout w:type="fixed"/>
        <w:tblCellMar>
          <w:top w:w="0" w:type="dxa"/>
          <w:left w:w="0" w:type="dxa"/>
          <w:bottom w:w="0" w:type="dxa"/>
          <w:right w:w="0" w:type="dxa"/>
        </w:tblCellMar>
      </w:tblPr>
      <w:tblGrid>
        <w:gridCol w:w="88"/>
        <w:gridCol w:w="257"/>
        <w:gridCol w:w="9860"/>
      </w:tblGrid>
      <w:tr>
        <w:trPr/>
        <w:tc>
          <w:tcPr>
            <w:tcW w:w="8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left"/>
              <w:rPr/>
            </w:pPr>
            <w:r>
              <w:rPr/>
              <w:t>Code included in agreements with suppliers.</w:t>
            </w:r>
          </w:p>
        </w:tc>
      </w:tr>
    </w:tbl>
    <w:tbl>
      <w:tblPr>
        <w:tblW w:w="5000" w:type="pct"/>
        <w:jc w:val="left"/>
        <w:tblInd w:w="0" w:type="dxa"/>
        <w:tblLayout w:type="fixed"/>
        <w:tblCellMar>
          <w:top w:w="0" w:type="dxa"/>
          <w:left w:w="0" w:type="dxa"/>
          <w:bottom w:w="0" w:type="dxa"/>
          <w:right w:w="0" w:type="dxa"/>
        </w:tblCellMar>
      </w:tblPr>
      <w:tblGrid>
        <w:gridCol w:w="50"/>
        <w:gridCol w:w="147"/>
        <w:gridCol w:w="10008"/>
      </w:tblGrid>
      <w:tr>
        <w:trPr/>
        <w:tc>
          <w:tcPr>
            <w:tcW w:w="5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w:t>
            </w:r>
          </w:p>
        </w:tc>
        <w:tc>
          <w:tcPr>
            <w:tcW w:w="10008" w:type="dxa"/>
            <w:tcBorders/>
            <w:vAlign w:val="center"/>
          </w:tcPr>
          <w:p>
            <w:pPr>
              <w:pStyle w:val="TableContents"/>
              <w:bidi w:val="0"/>
              <w:spacing w:before="0" w:after="283"/>
              <w:jc w:val="left"/>
              <w:rPr/>
            </w:pPr>
            <w:r>
              <w:rPr/>
              <w:t>Step 1B - Internal management structure to support supply chain due diligence.</w:t>
            </w:r>
          </w:p>
        </w:tc>
      </w:tr>
    </w:tbl>
    <w:tbl>
      <w:tblPr>
        <w:tblW w:w="5000" w:type="pct"/>
        <w:jc w:val="left"/>
        <w:tblInd w:w="0" w:type="dxa"/>
        <w:tblLayout w:type="fixed"/>
        <w:tblCellMar>
          <w:top w:w="0" w:type="dxa"/>
          <w:left w:w="0" w:type="dxa"/>
          <w:bottom w:w="0" w:type="dxa"/>
          <w:right w:w="0" w:type="dxa"/>
        </w:tblCellMar>
      </w:tblPr>
      <w:tblGrid>
        <w:gridCol w:w="44"/>
        <w:gridCol w:w="987"/>
        <w:gridCol w:w="9174"/>
      </w:tblGrid>
      <w:tr>
        <w:trPr/>
        <w:tc>
          <w:tcPr>
            <w:tcW w:w="4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pPr>
            <w:r>
              <w:rPr/>
              <w:t>&amp;squarf;</w:t>
            </w:r>
          </w:p>
        </w:tc>
        <w:tc>
          <w:tcPr>
            <w:tcW w:w="9174" w:type="dxa"/>
            <w:tcBorders/>
            <w:vAlign w:val="center"/>
          </w:tcPr>
          <w:p>
            <w:pPr>
              <w:pStyle w:val="TableContents"/>
              <w:bidi w:val="0"/>
              <w:spacing w:before="0" w:after="283"/>
              <w:jc w:val="left"/>
              <w:rPr/>
            </w:pPr>
            <w:r>
              <w:rPr/>
              <w:t>Maintained an internal cross functional team to support supply chain due diligence;</w:t>
            </w:r>
          </w:p>
        </w:tc>
      </w:tr>
    </w:tbl>
    <w:tbl>
      <w:tblPr>
        <w:tblW w:w="5000" w:type="pct"/>
        <w:jc w:val="left"/>
        <w:tblInd w:w="0" w:type="dxa"/>
        <w:tblLayout w:type="fixed"/>
        <w:tblCellMar>
          <w:top w:w="0" w:type="dxa"/>
          <w:left w:w="0" w:type="dxa"/>
          <w:bottom w:w="0" w:type="dxa"/>
          <w:right w:w="0" w:type="dxa"/>
        </w:tblCellMar>
      </w:tblPr>
      <w:tblGrid>
        <w:gridCol w:w="37"/>
        <w:gridCol w:w="824"/>
        <w:gridCol w:w="9344"/>
      </w:tblGrid>
      <w:tr>
        <w:trPr/>
        <w:tc>
          <w:tcPr>
            <w:tcW w:w="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pPr>
            <w:r>
              <w:rPr/>
              <w:t>&amp;squarf;</w:t>
            </w:r>
          </w:p>
        </w:tc>
        <w:tc>
          <w:tcPr>
            <w:tcW w:w="9344" w:type="dxa"/>
            <w:tcBorders/>
            <w:vAlign w:val="center"/>
          </w:tcPr>
          <w:p>
            <w:pPr>
              <w:pStyle w:val="TableContents"/>
              <w:bidi w:val="0"/>
              <w:spacing w:before="0" w:after="283"/>
              <w:jc w:val="left"/>
              <w:rPr/>
            </w:pPr>
            <w:r>
              <w:rPr/>
              <w:t>Appointed a member of the senior staff with the necessary competence, knowledge, and experience to oversee supply chain due diligence; and</w:t>
            </w:r>
          </w:p>
        </w:tc>
      </w:tr>
    </w:tbl>
    <w:tbl>
      <w:tblPr>
        <w:tblW w:w="5000" w:type="pct"/>
        <w:jc w:val="left"/>
        <w:tblInd w:w="0" w:type="dxa"/>
        <w:tblLayout w:type="fixed"/>
        <w:tblCellMar>
          <w:top w:w="0" w:type="dxa"/>
          <w:left w:w="0" w:type="dxa"/>
          <w:bottom w:w="0" w:type="dxa"/>
          <w:right w:w="0" w:type="dxa"/>
        </w:tblCellMar>
      </w:tblPr>
      <w:tblGrid>
        <w:gridCol w:w="37"/>
        <w:gridCol w:w="822"/>
        <w:gridCol w:w="9346"/>
      </w:tblGrid>
      <w:tr>
        <w:trPr/>
        <w:tc>
          <w:tcPr>
            <w:tcW w:w="3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pPr>
            <w:r>
              <w:rPr/>
              <w:t>&amp;squarf;</w:t>
            </w:r>
          </w:p>
        </w:tc>
        <w:tc>
          <w:tcPr>
            <w:tcW w:w="9346" w:type="dxa"/>
            <w:tcBorders/>
            <w:vAlign w:val="center"/>
          </w:tcPr>
          <w:p>
            <w:pPr>
              <w:pStyle w:val="TableContents"/>
              <w:bidi w:val="0"/>
              <w:spacing w:before="0" w:after="283"/>
              <w:jc w:val="left"/>
              <w:rPr/>
            </w:pPr>
            <w:r>
              <w:rPr/>
              <w:t>Applied the resources necessary to support the operation and monitoring of these processes including internal resources and external consulting support.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1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2"/>
        <w:gridCol w:w="125"/>
        <w:gridCol w:w="10038"/>
      </w:tblGrid>
      <w:tr>
        <w:trPr/>
        <w:tc>
          <w:tcPr>
            <w:tcW w:w="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w:t>
            </w:r>
          </w:p>
        </w:tc>
        <w:tc>
          <w:tcPr>
            <w:tcW w:w="10038" w:type="dxa"/>
            <w:tcBorders/>
            <w:vAlign w:val="center"/>
          </w:tcPr>
          <w:p>
            <w:pPr>
              <w:pStyle w:val="TableContents"/>
              <w:bidi w:val="0"/>
              <w:spacing w:before="0" w:after="283"/>
              <w:jc w:val="left"/>
              <w:rPr/>
            </w:pPr>
            <w:r>
              <w:rPr/>
              <w:t>Step 1C - A system of transparency, information collection and control over the supply chain:</w:t>
            </w:r>
          </w:p>
        </w:tc>
      </w:tr>
    </w:tbl>
    <w:tbl>
      <w:tblPr>
        <w:tblW w:w="5000" w:type="pct"/>
        <w:jc w:val="left"/>
        <w:tblInd w:w="0" w:type="dxa"/>
        <w:tblLayout w:type="fixed"/>
        <w:tblCellMar>
          <w:top w:w="0" w:type="dxa"/>
          <w:left w:w="0" w:type="dxa"/>
          <w:bottom w:w="0" w:type="dxa"/>
          <w:right w:w="0" w:type="dxa"/>
        </w:tblCellMar>
      </w:tblPr>
      <w:tblGrid>
        <w:gridCol w:w="37"/>
        <w:gridCol w:w="808"/>
        <w:gridCol w:w="9360"/>
      </w:tblGrid>
      <w:tr>
        <w:trPr/>
        <w:tc>
          <w:tcPr>
            <w:tcW w:w="3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pPr>
            <w:r>
              <w:rPr/>
              <w:t>&amp;squarf;</w:t>
            </w:r>
          </w:p>
        </w:tc>
        <w:tc>
          <w:tcPr>
            <w:tcW w:w="9360" w:type="dxa"/>
            <w:tcBorders/>
            <w:vAlign w:val="center"/>
          </w:tcPr>
          <w:p>
            <w:pPr>
              <w:pStyle w:val="TableContents"/>
              <w:bidi w:val="0"/>
              <w:spacing w:before="0" w:after="283"/>
              <w:jc w:val="left"/>
              <w:rPr/>
            </w:pPr>
            <w:r>
              <w:rPr/>
              <w:t>Implemented a process to collect required supplier and smelter RCOI and due diligence data. Full details on the supply chain data gathering are included in the RCOI and Due Diligence sections of this Conflict Minerals Report (“CMR’)</w:t>
            </w:r>
          </w:p>
        </w:tc>
      </w:tr>
    </w:tbl>
    <w:tbl>
      <w:tblPr>
        <w:tblW w:w="5000" w:type="pct"/>
        <w:jc w:val="left"/>
        <w:tblInd w:w="0" w:type="dxa"/>
        <w:tblLayout w:type="fixed"/>
        <w:tblCellMar>
          <w:top w:w="0" w:type="dxa"/>
          <w:left w:w="0" w:type="dxa"/>
          <w:bottom w:w="0" w:type="dxa"/>
          <w:right w:w="0" w:type="dxa"/>
        </w:tblCellMar>
      </w:tblPr>
      <w:tblGrid>
        <w:gridCol w:w="72"/>
        <w:gridCol w:w="209"/>
        <w:gridCol w:w="9924"/>
      </w:tblGrid>
      <w:tr>
        <w:trPr/>
        <w:tc>
          <w:tcPr>
            <w:tcW w:w="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left"/>
              <w:rPr/>
            </w:pPr>
            <w:r>
              <w:rPr/>
              <w:t>Step 1D - Strong company engagement with suppliers:</w:t>
            </w:r>
          </w:p>
        </w:tc>
      </w:tr>
    </w:tbl>
    <w:tbl>
      <w:tblPr>
        <w:tblW w:w="5000" w:type="pct"/>
        <w:jc w:val="left"/>
        <w:tblInd w:w="0" w:type="dxa"/>
        <w:tblLayout w:type="fixed"/>
        <w:tblCellMar>
          <w:top w:w="0" w:type="dxa"/>
          <w:left w:w="0" w:type="dxa"/>
          <w:bottom w:w="0" w:type="dxa"/>
          <w:right w:w="0" w:type="dxa"/>
        </w:tblCellMar>
      </w:tblPr>
      <w:tblGrid>
        <w:gridCol w:w="69"/>
        <w:gridCol w:w="1544"/>
        <w:gridCol w:w="8592"/>
      </w:tblGrid>
      <w:tr>
        <w:trPr/>
        <w:tc>
          <w:tcPr>
            <w:tcW w:w="6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pPr>
            <w:r>
              <w:rPr/>
              <w:t>&amp;squarf;</w:t>
            </w:r>
          </w:p>
        </w:tc>
        <w:tc>
          <w:tcPr>
            <w:tcW w:w="8592" w:type="dxa"/>
            <w:tcBorders/>
            <w:vAlign w:val="center"/>
          </w:tcPr>
          <w:p>
            <w:pPr>
              <w:pStyle w:val="TableContents"/>
              <w:bidi w:val="0"/>
              <w:spacing w:before="0" w:after="283"/>
              <w:jc w:val="left"/>
              <w:rPr/>
            </w:pPr>
            <w:r>
              <w:rPr/>
              <w:t>Directly engaged suppliers during RCOI process;</w:t>
            </w:r>
          </w:p>
        </w:tc>
      </w:tr>
    </w:tbl>
    <w:tbl>
      <w:tblPr>
        <w:tblW w:w="5000" w:type="pct"/>
        <w:jc w:val="left"/>
        <w:tblInd w:w="0" w:type="dxa"/>
        <w:tblLayout w:type="fixed"/>
        <w:tblCellMar>
          <w:top w:w="0" w:type="dxa"/>
          <w:left w:w="0" w:type="dxa"/>
          <w:bottom w:w="0" w:type="dxa"/>
          <w:right w:w="0" w:type="dxa"/>
        </w:tblCellMar>
      </w:tblPr>
      <w:tblGrid>
        <w:gridCol w:w="59"/>
        <w:gridCol w:w="1334"/>
        <w:gridCol w:w="8812"/>
      </w:tblGrid>
      <w:tr>
        <w:trPr/>
        <w:tc>
          <w:tcPr>
            <w:tcW w:w="5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pPr>
            <w:r>
              <w:rPr/>
              <w:t>&amp;squarf;</w:t>
            </w:r>
          </w:p>
        </w:tc>
        <w:tc>
          <w:tcPr>
            <w:tcW w:w="8812" w:type="dxa"/>
            <w:tcBorders/>
            <w:vAlign w:val="center"/>
          </w:tcPr>
          <w:p>
            <w:pPr>
              <w:pStyle w:val="TableContents"/>
              <w:bidi w:val="0"/>
              <w:spacing w:before="0" w:after="283"/>
              <w:jc w:val="left"/>
              <w:rPr/>
            </w:pPr>
            <w:r>
              <w:rPr/>
              <w:t>Reviewed supplier responses as part of RCOI process; and</w:t>
            </w:r>
          </w:p>
        </w:tc>
      </w:tr>
    </w:tbl>
    <w:tbl>
      <w:tblPr>
        <w:tblW w:w="5000" w:type="pct"/>
        <w:jc w:val="left"/>
        <w:tblInd w:w="0" w:type="dxa"/>
        <w:tblLayout w:type="fixed"/>
        <w:tblCellMar>
          <w:top w:w="0" w:type="dxa"/>
          <w:left w:w="0" w:type="dxa"/>
          <w:bottom w:w="0" w:type="dxa"/>
          <w:right w:w="0" w:type="dxa"/>
        </w:tblCellMar>
      </w:tblPr>
      <w:tblGrid>
        <w:gridCol w:w="37"/>
        <w:gridCol w:w="840"/>
        <w:gridCol w:w="9328"/>
      </w:tblGrid>
      <w:tr>
        <w:trPr/>
        <w:tc>
          <w:tcPr>
            <w:tcW w:w="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pPr>
            <w:r>
              <w:rPr/>
              <w:t>&amp;squarf;</w:t>
            </w:r>
          </w:p>
        </w:tc>
        <w:tc>
          <w:tcPr>
            <w:tcW w:w="9328" w:type="dxa"/>
            <w:tcBorders/>
            <w:vAlign w:val="center"/>
          </w:tcPr>
          <w:p>
            <w:pPr>
              <w:pStyle w:val="TableContents"/>
              <w:bidi w:val="0"/>
              <w:spacing w:before="0" w:after="283"/>
              <w:jc w:val="left"/>
              <w:rPr/>
            </w:pPr>
            <w:r>
              <w:rPr/>
              <w:t>Implemented a plan to improve the quantity and quality of supplier and smelter responses year over year.</w:t>
            </w:r>
          </w:p>
        </w:tc>
      </w:tr>
    </w:tbl>
    <w:tbl>
      <w:tblPr>
        <w:tblW w:w="5000" w:type="pct"/>
        <w:jc w:val="left"/>
        <w:tblInd w:w="0" w:type="dxa"/>
        <w:tblLayout w:type="fixed"/>
        <w:tblCellMar>
          <w:top w:w="0" w:type="dxa"/>
          <w:left w:w="0" w:type="dxa"/>
          <w:bottom w:w="0" w:type="dxa"/>
          <w:right w:w="0" w:type="dxa"/>
        </w:tblCellMar>
      </w:tblPr>
      <w:tblGrid>
        <w:gridCol w:w="63"/>
        <w:gridCol w:w="184"/>
        <w:gridCol w:w="9958"/>
      </w:tblGrid>
      <w:tr>
        <w:trPr/>
        <w:tc>
          <w:tcPr>
            <w:tcW w:w="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left"/>
              <w:rPr/>
            </w:pPr>
            <w:r>
              <w:rPr/>
              <w:t>Step 1E - A company and/or mine level grievance mechanism:</w:t>
            </w:r>
          </w:p>
        </w:tc>
      </w:tr>
    </w:tbl>
    <w:tbl>
      <w:tblPr>
        <w:tblW w:w="5000" w:type="pct"/>
        <w:jc w:val="left"/>
        <w:tblInd w:w="0" w:type="dxa"/>
        <w:tblLayout w:type="fixed"/>
        <w:tblCellMar>
          <w:top w:w="0" w:type="dxa"/>
          <w:left w:w="0" w:type="dxa"/>
          <w:bottom w:w="0" w:type="dxa"/>
          <w:right w:w="0" w:type="dxa"/>
        </w:tblCellMar>
      </w:tblPr>
      <w:tblGrid>
        <w:gridCol w:w="37"/>
        <w:gridCol w:w="836"/>
        <w:gridCol w:w="9332"/>
      </w:tblGrid>
      <w:tr>
        <w:trPr/>
        <w:tc>
          <w:tcPr>
            <w:tcW w:w="3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pPr>
            <w:r>
              <w:rPr/>
              <w:t>&amp;squarf;</w:t>
            </w:r>
          </w:p>
        </w:tc>
        <w:tc>
          <w:tcPr>
            <w:tcW w:w="9332" w:type="dxa"/>
            <w:tcBorders/>
            <w:vAlign w:val="center"/>
          </w:tcPr>
          <w:p>
            <w:pPr>
              <w:pStyle w:val="TableContents"/>
              <w:bidi w:val="0"/>
              <w:spacing w:before="0" w:after="283"/>
              <w:jc w:val="left"/>
              <w:rPr/>
            </w:pPr>
            <w:r>
              <w:rPr/>
              <w:t>Recognized the RMAP’s three audit protocols for 3TG as valid sources of smelter or mine level grievances; and</w:t>
            </w:r>
          </w:p>
        </w:tc>
      </w:tr>
    </w:tbl>
    <w:tbl>
      <w:tblPr>
        <w:tblW w:w="5000" w:type="pct"/>
        <w:jc w:val="left"/>
        <w:tblInd w:w="0" w:type="dxa"/>
        <w:tblLayout w:type="fixed"/>
        <w:tblCellMar>
          <w:top w:w="0" w:type="dxa"/>
          <w:left w:w="0" w:type="dxa"/>
          <w:bottom w:w="0" w:type="dxa"/>
          <w:right w:w="0" w:type="dxa"/>
        </w:tblCellMar>
      </w:tblPr>
      <w:tblGrid>
        <w:gridCol w:w="37"/>
        <w:gridCol w:w="810"/>
        <w:gridCol w:w="9358"/>
      </w:tblGrid>
      <w:tr>
        <w:trPr/>
        <w:tc>
          <w:tcPr>
            <w:tcW w:w="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pPr>
            <w:r>
              <w:rPr/>
              <w:t>&amp;squarf;</w:t>
            </w:r>
          </w:p>
        </w:tc>
        <w:tc>
          <w:tcPr>
            <w:tcW w:w="9358" w:type="dxa"/>
            <w:tcBorders/>
            <w:vAlign w:val="center"/>
          </w:tcPr>
          <w:p>
            <w:pPr>
              <w:pStyle w:val="TableContents"/>
              <w:bidi w:val="0"/>
              <w:spacing w:before="0" w:after="283"/>
              <w:jc w:val="left"/>
              <w:rPr/>
            </w:pPr>
            <w:r>
              <w:rPr/>
              <w:t>Utilized Keenova’s ethics violations reporting system which allows employees to voice confidentially, without any fear of retribution, any concerns of potential violations of the Company’s Conflict Minerals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Reasonable Country of Origin Inquiry (RCOI)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 designed its RCOI process in accordance with Step 2A and 2B of the OECD Due Diligence Guidance. Keenova’s RCOI process involved two stages: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54"/>
        <w:gridCol w:w="9998"/>
      </w:tblGrid>
      <w:tr>
        <w:trPr/>
        <w:tc>
          <w:tcPr>
            <w:tcW w:w="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Stage 1 - Supplier RCOI (Step 2A of the OECD Due Diligence Guidance)</w:t>
            </w:r>
          </w:p>
        </w:tc>
      </w:tr>
    </w:tbl>
    <w:tbl>
      <w:tblPr>
        <w:tblW w:w="5000" w:type="pct"/>
        <w:jc w:val="left"/>
        <w:tblInd w:w="0" w:type="dxa"/>
        <w:tblLayout w:type="fixed"/>
        <w:tblCellMar>
          <w:top w:w="0" w:type="dxa"/>
          <w:left w:w="0" w:type="dxa"/>
          <w:bottom w:w="0" w:type="dxa"/>
          <w:right w:w="0" w:type="dxa"/>
        </w:tblCellMar>
      </w:tblPr>
      <w:tblGrid>
        <w:gridCol w:w="54"/>
        <w:gridCol w:w="156"/>
        <w:gridCol w:w="9995"/>
      </w:tblGrid>
      <w:tr>
        <w:trPr/>
        <w:tc>
          <w:tcPr>
            <w:tcW w:w="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left"/>
              <w:rPr/>
            </w:pPr>
            <w:r>
              <w:rPr/>
              <w:t>Stage 2 - Smelter RCOI (Step 2B of the OECD Due Diligence Guidance)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Supplier RCOI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 designed its supplier RCOI process to identify, to the best of its efforts, the smelters in Keenova’s supply chain in accordance with Step 2A of the OECD Due Diligence Guidance. Keenova’s supplier RCOI process for the Reporting Period included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42"/>
        <w:gridCol w:w="10014"/>
      </w:tblGrid>
      <w:tr>
        <w:trPr/>
        <w:tc>
          <w:tcPr>
            <w:tcW w:w="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w:t>
            </w:r>
          </w:p>
        </w:tc>
        <w:tc>
          <w:tcPr>
            <w:tcW w:w="10014" w:type="dxa"/>
            <w:tcBorders/>
            <w:vAlign w:val="center"/>
          </w:tcPr>
          <w:p>
            <w:pPr>
              <w:pStyle w:val="TableContents"/>
              <w:bidi w:val="0"/>
              <w:spacing w:before="0" w:after="283"/>
              <w:jc w:val="left"/>
              <w:rPr/>
            </w:pPr>
            <w:r>
              <w:rPr/>
              <w:t>Developing a list of suppliers providing 3TG containing components to Keenova;</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Contacting each supplier and requesting them to complete the industry standard Conflict Minerals Reporting Template (“CMRT”) including smelter information;</w:t>
            </w:r>
          </w:p>
        </w:tc>
      </w:tr>
    </w:tbl>
    <w:tbl>
      <w:tblPr>
        <w:tblW w:w="5000" w:type="pct"/>
        <w:jc w:val="left"/>
        <w:tblInd w:w="0" w:type="dxa"/>
        <w:tblLayout w:type="fixed"/>
        <w:tblCellMar>
          <w:top w:w="0" w:type="dxa"/>
          <w:left w:w="0" w:type="dxa"/>
          <w:bottom w:w="0" w:type="dxa"/>
          <w:right w:w="0" w:type="dxa"/>
        </w:tblCellMar>
      </w:tblPr>
      <w:tblGrid>
        <w:gridCol w:w="64"/>
        <w:gridCol w:w="186"/>
        <w:gridCol w:w="9955"/>
      </w:tblGrid>
      <w:tr>
        <w:trPr/>
        <w:tc>
          <w:tcPr>
            <w:tcW w:w="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w:t>
            </w:r>
          </w:p>
        </w:tc>
        <w:tc>
          <w:tcPr>
            <w:tcW w:w="9955" w:type="dxa"/>
            <w:tcBorders/>
            <w:vAlign w:val="center"/>
          </w:tcPr>
          <w:p>
            <w:pPr>
              <w:pStyle w:val="TableContents"/>
              <w:bidi w:val="0"/>
              <w:spacing w:before="0" w:after="283"/>
              <w:jc w:val="left"/>
              <w:rPr/>
            </w:pPr>
            <w:r>
              <w:rPr/>
              <w:t>Reviewing supplier responses for accuracy and completeness;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Amalgamating supplier-provided smelters into a single unique list of smelters meeting the definition of a smelter under one of three industry recognized audit protocols;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Reviewing the final smelter list (and comparing it to industry peers) to determine if Keenova reasonably identified all of the smelters in its supply chain.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Reporting Period, Keenova’s RCOI process was executed by Claigan Environmental Inc. (“Claigan”).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Keenova’s suppliers identified 334 smelters in their supply chain. The specific list of smelters is included in the Smelter and Refineries section at the end of this CMR.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Smelter RCOI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overlap between smelter RCOI and smelter due diligence, the smelter RCOI process is summarized in the Due Diligence section of this CMR.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Diligence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Keenova’s “Due Diligence Process” was designed in accordance with the applicable sections of Steps 2, 3, and 4 of the OECD Due Diligence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Smelter RCOI and Due Diligence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Keenova’s smelter RCOI and Due Diligence Process were designed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39"/>
        <w:gridCol w:w="10019"/>
      </w:tblGrid>
      <w:tr>
        <w:trPr/>
        <w:tc>
          <w:tcPr>
            <w:tcW w:w="4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pPr>
            <w:r>
              <w:rPr/>
              <w:t>◦</w:t>
            </w:r>
          </w:p>
        </w:tc>
        <w:tc>
          <w:tcPr>
            <w:tcW w:w="10019" w:type="dxa"/>
            <w:tcBorders/>
            <w:vAlign w:val="center"/>
          </w:tcPr>
          <w:p>
            <w:pPr>
              <w:pStyle w:val="TableContents"/>
              <w:bidi w:val="0"/>
              <w:spacing w:before="0" w:after="283"/>
              <w:jc w:val="left"/>
              <w:rPr/>
            </w:pPr>
            <w:r>
              <w:rPr/>
              <w:t>Identify the scope of the risk assessment of the 3TG supply chain (OECD Step 2B);</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Assess whether the smelters have carried out all elements of due diligence for responsible supply chains of minerals from the Covered Countries (OECD Step 2C);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Where necessary, carry out, including through participation in industry-driven programs, joint spot checks at the relevant smelter’s own facilities (OECD Step 2D).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Keenova’s smelter RCOI and Due Diligence Process included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11"/>
        <w:gridCol w:w="9922"/>
      </w:tblGrid>
      <w:tr>
        <w:trPr/>
        <w:tc>
          <w:tcPr>
            <w:tcW w:w="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left"/>
              <w:rPr/>
            </w:pPr>
            <w:r>
              <w:rPr/>
              <w:t>For each smelter identified in Keenova’s supply chain:</w:t>
            </w:r>
          </w:p>
        </w:tc>
      </w:tr>
    </w:tbl>
    <w:tbl>
      <w:tblPr>
        <w:tblW w:w="5000" w:type="pct"/>
        <w:jc w:val="left"/>
        <w:tblInd w:w="0" w:type="dxa"/>
        <w:tblLayout w:type="fixed"/>
        <w:tblCellMar>
          <w:top w:w="0" w:type="dxa"/>
          <w:left w:w="0" w:type="dxa"/>
          <w:bottom w:w="0" w:type="dxa"/>
          <w:right w:w="0" w:type="dxa"/>
        </w:tblCellMar>
      </w:tblPr>
      <w:tblGrid>
        <w:gridCol w:w="37"/>
        <w:gridCol w:w="827"/>
        <w:gridCol w:w="9341"/>
      </w:tblGrid>
      <w:tr>
        <w:trPr/>
        <w:tc>
          <w:tcPr>
            <w:tcW w:w="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pPr>
            <w:r>
              <w:rPr/>
              <w:t>&amp;squarf;</w:t>
            </w:r>
          </w:p>
        </w:tc>
        <w:tc>
          <w:tcPr>
            <w:tcW w:w="9341" w:type="dxa"/>
            <w:tcBorders/>
            <w:vAlign w:val="center"/>
          </w:tcPr>
          <w:p>
            <w:pPr>
              <w:pStyle w:val="TableContents"/>
              <w:bidi w:val="0"/>
              <w:spacing w:before="0" w:after="283"/>
              <w:jc w:val="left"/>
              <w:rPr/>
            </w:pPr>
            <w:r>
              <w:rPr/>
              <w:t>Keenova sought direct engagement with the smelter to determine whether or not the smelter sources from the Covered Countries; and</w:t>
            </w:r>
          </w:p>
        </w:tc>
      </w:tr>
    </w:tbl>
    <w:tbl>
      <w:tblPr>
        <w:tblW w:w="5000" w:type="pct"/>
        <w:jc w:val="left"/>
        <w:tblInd w:w="0" w:type="dxa"/>
        <w:tblLayout w:type="fixed"/>
        <w:tblCellMar>
          <w:top w:w="0" w:type="dxa"/>
          <w:left w:w="0" w:type="dxa"/>
          <w:bottom w:w="0" w:type="dxa"/>
          <w:right w:w="0" w:type="dxa"/>
        </w:tblCellMar>
      </w:tblPr>
      <w:tblGrid>
        <w:gridCol w:w="37"/>
        <w:gridCol w:w="796"/>
        <w:gridCol w:w="9372"/>
      </w:tblGrid>
      <w:tr>
        <w:trPr/>
        <w:tc>
          <w:tcPr>
            <w:tcW w:w="3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pPr>
            <w:r>
              <w:rPr/>
              <w:t>&amp;squarf;</w:t>
            </w:r>
          </w:p>
        </w:tc>
        <w:tc>
          <w:tcPr>
            <w:tcW w:w="9372" w:type="dxa"/>
            <w:tcBorders/>
            <w:vAlign w:val="center"/>
          </w:tcPr>
          <w:p>
            <w:pPr>
              <w:pStyle w:val="TableContents"/>
              <w:bidi w:val="0"/>
              <w:spacing w:before="0" w:after="283"/>
              <w:jc w:val="left"/>
              <w:rPr/>
            </w:pPr>
            <w:r>
              <w:rPr/>
              <w:t>For smelters that declared directly (e.g., email correspondence, publicly available conflict minerals policy, or information available on their website) or through their relevant industry association that they did not source from the Covered Countries, but were not recognized as conflict-free by the RMAP, Keenova reviewed publicly available information to determine if there was any contrary evidence to the smelter’s declaration. The sources reviewed included:</w:t>
            </w:r>
          </w:p>
        </w:tc>
      </w:tr>
    </w:tbl>
    <w:tbl>
      <w:tblPr>
        <w:tblW w:w="5000" w:type="pct"/>
        <w:jc w:val="left"/>
        <w:tblInd w:w="0" w:type="dxa"/>
        <w:tblLayout w:type="fixed"/>
        <w:tblCellMar>
          <w:top w:w="0" w:type="dxa"/>
          <w:left w:w="0" w:type="dxa"/>
          <w:bottom w:w="0" w:type="dxa"/>
          <w:right w:w="0" w:type="dxa"/>
        </w:tblCellMar>
      </w:tblPr>
      <w:tblGrid>
        <w:gridCol w:w="45"/>
        <w:gridCol w:w="133"/>
        <w:gridCol w:w="10027"/>
      </w:tblGrid>
      <w:tr>
        <w:trPr/>
        <w:tc>
          <w:tcPr>
            <w:tcW w:w="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pPr>
            <w:r>
              <w:rPr/>
              <w:t>Public internet search of the facility in combination with each of the Covered Countries;</w:t>
            </w:r>
          </w:p>
        </w:tc>
      </w:tr>
    </w:tbl>
    <w:tbl>
      <w:tblPr>
        <w:tblW w:w="5000" w:type="pct"/>
        <w:jc w:val="left"/>
        <w:tblInd w:w="0" w:type="dxa"/>
        <w:tblLayout w:type="fixed"/>
        <w:tblCellMar>
          <w:top w:w="0" w:type="dxa"/>
          <w:left w:w="0" w:type="dxa"/>
          <w:bottom w:w="0" w:type="dxa"/>
          <w:right w:w="0" w:type="dxa"/>
        </w:tblCellMar>
      </w:tblPr>
      <w:tblGrid>
        <w:gridCol w:w="53"/>
        <w:gridCol w:w="156"/>
        <w:gridCol w:w="9996"/>
      </w:tblGrid>
      <w:tr>
        <w:trPr/>
        <w:tc>
          <w:tcPr>
            <w:tcW w:w="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left"/>
              <w:rPr/>
            </w:pPr>
            <w:r>
              <w:rPr/>
              <w:t>Review of specific non-governmental organization (“NGO”) publications.</w:t>
            </w:r>
          </w:p>
        </w:tc>
      </w:tr>
    </w:tbl>
    <w:tbl>
      <w:tblPr>
        <w:tblW w:w="5000" w:type="pct"/>
        <w:jc w:val="left"/>
        <w:tblInd w:w="0" w:type="dxa"/>
        <w:tblLayout w:type="fixed"/>
        <w:tblCellMar>
          <w:top w:w="0" w:type="dxa"/>
          <w:left w:w="0" w:type="dxa"/>
          <w:bottom w:w="0" w:type="dxa"/>
          <w:right w:w="0" w:type="dxa"/>
        </w:tblCellMar>
      </w:tblPr>
      <w:tblGrid>
        <w:gridCol w:w="56"/>
        <w:gridCol w:w="166"/>
        <w:gridCol w:w="9983"/>
      </w:tblGrid>
      <w:tr>
        <w:trPr/>
        <w:tc>
          <w:tcPr>
            <w:tcW w:w="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left"/>
              <w:rPr/>
            </w:pPr>
            <w:r>
              <w:rPr/>
              <w:t>The most recent United Nations Group of Experts report on the DRC.</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For smelters that did not respond to direct engagement, Keenova reviewed publicly available sources to determine if there was any reason to believe that the smelter may have sourced from the Covered Countries during the Reporting Period.</w:t>
            </w:r>
          </w:p>
        </w:tc>
      </w:tr>
    </w:tbl>
    <w:tbl>
      <w:tblPr>
        <w:tblW w:w="5000" w:type="pct"/>
        <w:jc w:val="left"/>
        <w:tblInd w:w="0" w:type="dxa"/>
        <w:tblLayout w:type="fixed"/>
        <w:tblCellMar>
          <w:top w:w="0" w:type="dxa"/>
          <w:left w:w="0" w:type="dxa"/>
          <w:bottom w:w="0" w:type="dxa"/>
          <w:right w:w="0" w:type="dxa"/>
        </w:tblCellMar>
      </w:tblPr>
      <w:tblGrid>
        <w:gridCol w:w="37"/>
        <w:gridCol w:w="844"/>
        <w:gridCol w:w="9324"/>
      </w:tblGrid>
      <w:tr>
        <w:trPr/>
        <w:tc>
          <w:tcPr>
            <w:tcW w:w="3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pPr>
            <w:r>
              <w:rPr/>
              <w:t>&amp;squarf;</w:t>
            </w:r>
          </w:p>
        </w:tc>
        <w:tc>
          <w:tcPr>
            <w:tcW w:w="9324" w:type="dxa"/>
            <w:tcBorders/>
            <w:vAlign w:val="center"/>
          </w:tcPr>
          <w:p>
            <w:pPr>
              <w:pStyle w:val="TableContents"/>
              <w:bidi w:val="0"/>
              <w:spacing w:before="0" w:after="283"/>
              <w:jc w:val="left"/>
              <w:rPr/>
            </w:pPr>
            <w:r>
              <w:rPr/>
              <w:t>Keenova reviewed the same sources as those used to compare against smelter sourcing declarations.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For high-risk smelters (smelters that are sourcing from, or there is reason to believe they may be sourcing from, the Covered Countries and are not currently conformant to the RMAP), Keenova communicated the risk to senior management (OECD Step 3A) and will conduct risk mitigation as appropriate on the smelter according to OECD Step 3B.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Reporting Period, Keenova’s smelter RCOI and Due Diligence Process was executed by Claigan.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Keenova’s suppliers identified 334 smelters. Keenova identified 48 smelters that source, or there is reason to believe they may source, from the Covered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Keenova determined that 32 of these 48 smelters have been audited and are conformant to the RMAP, as </w:t>
      </w:r>
      <w:r>
        <w:rPr>
          <w:rFonts w:ascii="Times New Roman;Times;Serif" w:hAnsi="Times New Roman;Times;Serif"/>
          <w:b w:val="false"/>
          <w:i w:val="false"/>
          <w:caps w:val="false"/>
          <w:smallCaps w:val="false"/>
          <w:sz w:val="20"/>
          <w:shd w:fill="FFFFFF" w:val="clear"/>
        </w:rPr>
        <w:t xml:space="preserve">of May 14,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Mitigation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 continues to be committed to conducting risk mitigation on the remaining 16 high-risk smelters that may be part of the supply chain. Keenova’s risk mitigation was designed in accordance with Step 3B of the OECD Due Diligence Guidance and was reported to designated senior management consistent with the principles of Step 3A of the OECD Due Diligence Guidance. Keenova’s risk mitigation process included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Additional due diligence to determine if there was any reason to believe the smelter directly or indirectly finances or benefits armed groups in the Covered Countries;</w:t>
            </w:r>
          </w:p>
        </w:tc>
      </w:tr>
    </w:tbl>
    <w:tbl>
      <w:tblPr>
        <w:tblW w:w="5000" w:type="pct"/>
        <w:jc w:val="left"/>
        <w:tblInd w:w="0" w:type="dxa"/>
        <w:tblLayout w:type="fixed"/>
        <w:tblCellMar>
          <w:top w:w="0" w:type="dxa"/>
          <w:left w:w="0" w:type="dxa"/>
          <w:bottom w:w="0" w:type="dxa"/>
          <w:right w:w="0" w:type="dxa"/>
        </w:tblCellMar>
      </w:tblPr>
      <w:tblGrid>
        <w:gridCol w:w="52"/>
        <w:gridCol w:w="154"/>
        <w:gridCol w:w="9999"/>
      </w:tblGrid>
      <w:tr>
        <w:trPr/>
        <w:tc>
          <w:tcPr>
            <w:tcW w:w="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w:t>
            </w:r>
          </w:p>
        </w:tc>
        <w:tc>
          <w:tcPr>
            <w:tcW w:w="9999" w:type="dxa"/>
            <w:tcBorders/>
            <w:vAlign w:val="center"/>
          </w:tcPr>
          <w:p>
            <w:pPr>
              <w:pStyle w:val="TableContents"/>
              <w:bidi w:val="0"/>
              <w:spacing w:before="0" w:after="283"/>
              <w:jc w:val="left"/>
              <w:rPr/>
            </w:pPr>
            <w:r>
              <w:rPr/>
              <w:t>Seeking direct contact with relevant suppliers to determine, by specific part:</w:t>
            </w:r>
          </w:p>
        </w:tc>
      </w:tr>
    </w:tbl>
    <w:tbl>
      <w:tblPr>
        <w:tblW w:w="5000" w:type="pct"/>
        <w:jc w:val="left"/>
        <w:tblInd w:w="0" w:type="dxa"/>
        <w:tblLayout w:type="fixed"/>
        <w:tblCellMar>
          <w:top w:w="0" w:type="dxa"/>
          <w:left w:w="0" w:type="dxa"/>
          <w:bottom w:w="0" w:type="dxa"/>
          <w:right w:w="0" w:type="dxa"/>
        </w:tblCellMar>
      </w:tblPr>
      <w:tblGrid>
        <w:gridCol w:w="37"/>
        <w:gridCol w:w="838"/>
        <w:gridCol w:w="9330"/>
      </w:tblGrid>
      <w:tr>
        <w:trPr/>
        <w:tc>
          <w:tcPr>
            <w:tcW w:w="3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pPr>
            <w:r>
              <w:rPr/>
              <w:t>&amp;squarf;</w:t>
            </w:r>
          </w:p>
        </w:tc>
        <w:tc>
          <w:tcPr>
            <w:tcW w:w="9330" w:type="dxa"/>
            <w:tcBorders/>
            <w:vAlign w:val="center"/>
          </w:tcPr>
          <w:p>
            <w:pPr>
              <w:pStyle w:val="TableContents"/>
              <w:bidi w:val="0"/>
              <w:spacing w:before="0" w:after="283"/>
              <w:jc w:val="left"/>
              <w:rPr/>
            </w:pPr>
            <w:r>
              <w:rPr/>
              <w:t>Whether 3TGs from specific smelter(s) were actually in Keenova’s supply chain during the Reporting Period;</w:t>
            </w:r>
          </w:p>
        </w:tc>
      </w:tr>
    </w:tbl>
    <w:tbl>
      <w:tblPr>
        <w:tblW w:w="5000" w:type="pct"/>
        <w:jc w:val="left"/>
        <w:tblInd w:w="0" w:type="dxa"/>
        <w:tblLayout w:type="fixed"/>
        <w:tblCellMar>
          <w:top w:w="0" w:type="dxa"/>
          <w:left w:w="0" w:type="dxa"/>
          <w:bottom w:w="0" w:type="dxa"/>
          <w:right w:w="0" w:type="dxa"/>
        </w:tblCellMar>
      </w:tblPr>
      <w:tblGrid>
        <w:gridCol w:w="43"/>
        <w:gridCol w:w="959"/>
        <w:gridCol w:w="9203"/>
      </w:tblGrid>
      <w:tr>
        <w:trPr/>
        <w:tc>
          <w:tcPr>
            <w:tcW w:w="4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pPr>
            <w:r>
              <w:rPr/>
              <w:t>&amp;squarf;</w:t>
            </w:r>
          </w:p>
        </w:tc>
        <w:tc>
          <w:tcPr>
            <w:tcW w:w="9203" w:type="dxa"/>
            <w:tcBorders/>
            <w:vAlign w:val="center"/>
          </w:tcPr>
          <w:p>
            <w:pPr>
              <w:pStyle w:val="TableContents"/>
              <w:bidi w:val="0"/>
              <w:spacing w:before="0" w:after="283"/>
              <w:jc w:val="left"/>
              <w:rPr/>
            </w:pPr>
            <w:r>
              <w:rPr/>
              <w:t>Requested that supplier cease or minimize sourcing from identified high-risk smelters;</w:t>
            </w:r>
          </w:p>
        </w:tc>
      </w:tr>
    </w:tbl>
    <w:tbl>
      <w:tblPr>
        <w:tblW w:w="5000" w:type="pct"/>
        <w:jc w:val="left"/>
        <w:tblInd w:w="0" w:type="dxa"/>
        <w:tblLayout w:type="fixed"/>
        <w:tblCellMar>
          <w:top w:w="0" w:type="dxa"/>
          <w:left w:w="0" w:type="dxa"/>
          <w:bottom w:w="0" w:type="dxa"/>
          <w:right w:w="0" w:type="dxa"/>
        </w:tblCellMar>
      </w:tblPr>
      <w:tblGrid>
        <w:gridCol w:w="37"/>
        <w:gridCol w:w="808"/>
        <w:gridCol w:w="9360"/>
      </w:tblGrid>
      <w:tr>
        <w:trPr/>
        <w:tc>
          <w:tcPr>
            <w:tcW w:w="3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pPr>
            <w:r>
              <w:rPr/>
              <w:t>&amp;squarf;</w:t>
            </w:r>
          </w:p>
        </w:tc>
        <w:tc>
          <w:tcPr>
            <w:tcW w:w="9360" w:type="dxa"/>
            <w:tcBorders/>
            <w:vAlign w:val="center"/>
          </w:tcPr>
          <w:p>
            <w:pPr>
              <w:pStyle w:val="TableContents"/>
              <w:bidi w:val="0"/>
              <w:spacing w:before="0" w:after="283"/>
              <w:jc w:val="left"/>
              <w:rPr/>
            </w:pPr>
            <w:r>
              <w:rPr/>
              <w:t>Requested that supplier contact identified high-risk smelters and encourage them to source from downstream suppliers with business practices in accordance with our supplier code of conduct and the OECD Due Diligence Guidance,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Seeking direct engagement with each high-risk smelter to verify risk and to encourage the smelter to become conflict-free.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 found that one of the high-risk smelters had ceased smelting operations and transferred production to another facility which is RMAP Conformant.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Improvement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 strives to improve the due diligence conducted to further mitigate risk that the necessary Conflict Minerals in Keenova’s products could directly or indirectly benefit or finance armed groups in the Covered Countries and will aim to take the following steps:</w:t>
      </w:r>
    </w:p>
    <w:p>
      <w:pPr>
        <w:pStyle w:val="TextBody"/>
        <w:bidi w:val="0"/>
        <w:spacing w:before="0" w:after="0"/>
        <w:ind w:left="0" w:right="0" w:hanging="0"/>
        <w:jc w:val="left"/>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85"/>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8795" w:type="dxa"/>
            <w:tcBorders/>
            <w:vAlign w:val="center"/>
          </w:tcPr>
          <w:p>
            <w:pPr>
              <w:pStyle w:val="TableContents"/>
              <w:bidi w:val="0"/>
              <w:spacing w:before="0" w:after="283"/>
              <w:jc w:val="left"/>
              <w:rPr/>
            </w:pPr>
            <w:r>
              <w:rPr/>
              <w:t>Continue to incorporate a Conflict Minerals clause into new and renewing supplier contracts;</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Continue to directly contact suppliers and request suppliers obtain current, accurate, and complete information about the smelters in their respective supply chains;</w:t>
            </w:r>
          </w:p>
        </w:tc>
      </w:tr>
    </w:tbl>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left"/>
              <w:rPr/>
            </w:pPr>
            <w:r>
              <w:rPr/>
              <w:t>Continue to directly contact suppliers and request that they, whenever possible, only source from conformant smelters when sourcing from the Covered Countries; and</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left"/>
              <w:rPr/>
            </w:pPr>
            <w:r>
              <w:rPr/>
              <w:t>Request smelters sourcing from the Covered Countries to be audited and certified to a protocol recognized by the RMAP.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addresses are included in this CMR for reference only. Any information contained on Keenova’s website is not incorporated by reference into this CMR.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Smelters and Refiners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smelters reported to Keenova as possibly in the Company’s supply chain in the Reporting Period.</w:t>
      </w:r>
    </w:p>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530"/>
        <w:gridCol w:w="5045"/>
      </w:tblGrid>
      <w:tr>
        <w:trPr/>
        <w:tc>
          <w:tcPr>
            <w:tcW w:w="530" w:type="dxa"/>
            <w:tcBorders/>
            <w:vAlign w:val="center"/>
          </w:tcPr>
          <w:p>
            <w:pPr>
              <w:pStyle w:val="TableContents"/>
              <w:bidi w:val="0"/>
              <w:spacing w:before="0" w:after="283"/>
              <w:jc w:val="left"/>
              <w:rPr>
                <w:b/>
                <w:sz w:val="20"/>
              </w:rPr>
            </w:pPr>
            <w:r>
              <w:rPr>
                <w:b/>
                <w:sz w:val="20"/>
              </w:rPr>
              <w:t>Metal</w:t>
            </w:r>
          </w:p>
        </w:tc>
        <w:tc>
          <w:tcPr>
            <w:tcW w:w="5045" w:type="dxa"/>
            <w:tcBorders/>
            <w:vAlign w:val="center"/>
          </w:tcPr>
          <w:p>
            <w:pPr>
              <w:pStyle w:val="TableContents"/>
              <w:bidi w:val="0"/>
              <w:spacing w:before="0" w:after="283"/>
              <w:jc w:val="left"/>
              <w:rPr>
                <w:b/>
                <w:sz w:val="20"/>
              </w:rPr>
            </w:pPr>
            <w:r>
              <w:rPr>
                <w:b/>
                <w:sz w:val="20"/>
              </w:rPr>
              <w:t>Smelter</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8853 S.p.A.</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ABC Refinery Pty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Abington Reldan Metals, LLC</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Advanced Chemical Company</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African Gold Refinery</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Agosi AG</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Aida Chemical Industries Co.,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 Etihad Gold Refinery DMCC</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Albino Mountinho Lda.</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Alexy Metals</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Almalyk Mining and Metallurgical Complex (AMMC)</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AngloGold Ashanti Córrego do Sítio Mineração</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Argor-Heraeus S.A.</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ASAHI METALFINE, Inc.</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Asahi Refining Canada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Asahi Refining USA Inc.</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Asaka Riken Co.,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Attero Recycling Pvt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 Traders and Refiners</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Augmont Enterprises Private Limited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Aurubis AG, Hamburg</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Bangalore Refinery</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Bangko Sentral ng Pilipinas (Central Bank of the Philippines)</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Boliden Mineral AB (Ronnskar)</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Hafner GmbH + Co. KG</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Caridad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Cendres + Métaux S.A.</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CGR Metalloys Pvt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Chimet S.p.A.</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Chugai Mining</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Coimpa Industrial LTDA</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Daye Non-Ferrous Metals Mining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Degussa Sonne / Mond Goldhandel GmbH</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Dijllah Gold Refinery FZC</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Dongwu Gold Group</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Dowa</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DSC (Do Sung Corporation)</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Recycling Co., Ltd. East Plant</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Recycling Co., Ltd. North Plant</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Recycling Co., Ltd. West Plant</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Elite Industech Co.,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Emerald Jewel Industry India Limited (Unit 1)</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Emerald Jewel Industry India Limited (Unit 2)</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Emerald Jewel Industry India Limited (Unit 3)</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Emerald Jewel Industry India Limited (Unit 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5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905" w:type="dxa"/>
        <w:jc w:val="left"/>
        <w:tblInd w:w="0" w:type="dxa"/>
        <w:tblLayout w:type="fixed"/>
        <w:tblCellMar>
          <w:top w:w="0" w:type="dxa"/>
          <w:left w:w="0" w:type="dxa"/>
          <w:bottom w:w="0" w:type="dxa"/>
          <w:right w:w="0" w:type="dxa"/>
        </w:tblCellMar>
      </w:tblPr>
      <w:tblGrid>
        <w:gridCol w:w="530"/>
        <w:gridCol w:w="5375"/>
      </w:tblGrid>
      <w:tr>
        <w:trPr/>
        <w:tc>
          <w:tcPr>
            <w:tcW w:w="530" w:type="dxa"/>
            <w:tcBorders/>
            <w:vAlign w:val="center"/>
          </w:tcPr>
          <w:p>
            <w:pPr>
              <w:pStyle w:val="TableContents"/>
              <w:bidi w:val="0"/>
              <w:spacing w:before="0" w:after="283"/>
              <w:jc w:val="left"/>
              <w:rPr>
                <w:b/>
                <w:sz w:val="20"/>
              </w:rPr>
            </w:pPr>
            <w:r>
              <w:rPr>
                <w:b/>
                <w:sz w:val="20"/>
              </w:rPr>
              <w:t>Metal</w:t>
            </w:r>
          </w:p>
        </w:tc>
        <w:tc>
          <w:tcPr>
            <w:tcW w:w="5375" w:type="dxa"/>
            <w:tcBorders/>
            <w:vAlign w:val="center"/>
          </w:tcPr>
          <w:p>
            <w:pPr>
              <w:pStyle w:val="TableContents"/>
              <w:bidi w:val="0"/>
              <w:spacing w:before="0" w:after="283"/>
              <w:jc w:val="left"/>
              <w:rPr>
                <w:b/>
                <w:sz w:val="20"/>
              </w:rPr>
            </w:pPr>
            <w:r>
              <w:rPr>
                <w:b/>
                <w:sz w:val="20"/>
              </w:rPr>
              <w:t>Smelter</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Emirates Gold DMCC</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Fidelity Printers and Refiners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Fujairah Gold FZC</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Gasabo Gold Refinery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GG Refinery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GGC Gujrat Gold Centre Pvt.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Glencore Canada Corporation - CCR Refinery</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by Gold Colombia</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Coast Refinery</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Corporation - The Perth Mint</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Great Wall Precious Metals Co., Ltd. of CBPM</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Hangzhou Fuchunjiang Smelting Co.,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Heimerle + Meule GmbH</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Heraeus Limited Hong Kong (HLH)</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Heraeus Precious Metals Germany (HPMG)</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Chenzhou Mining Co.,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Guiyang yinxing Nonferrous Smelting Co.,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HwaSeong CJ Co.,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Impala Platinum - Platinum Metals Refinery (PMR)</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Inner Mongolia Qiankun Gold and Silver Refinery Share Co.,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 Precious Metal Refiners</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Ishifuku Metal Industry Co.,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Istanbul Gold Refinery</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Italpreziosi</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JALAN &amp; Company</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 Mint</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Copper Co.,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JSC Ekaterinburg Non-Ferrous Metal Processing Plant</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JSC Novosibirsk Refinery</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JSC Uralelectromed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JX Advanced Metals Corporation</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 Rasmussen</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Kazakhmys Smelting LLC</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Kazzinc</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Kennecott Utah Copper LLC</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KGHM Polska Mied&amp;zacute; Spó&amp;lstrok;ka Akcyjna</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Kojima Chemicals Co.,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Zinc Co.,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Kundan Care Products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Kyrgyzaltyn JSC</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Kyshtym Copper-Electrolytic Plant ZAO</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L'Orfebre S.A.</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Lingbao Gold Co.,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LS MnM Inc.</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LT Metal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Luoyang Zijin Yinhui Gold Refinery Co.,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Marsam Metals</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Materion</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Matsuda Sangyo Co., Ltd.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6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660" w:type="dxa"/>
        <w:jc w:val="left"/>
        <w:tblInd w:w="0" w:type="dxa"/>
        <w:tblLayout w:type="fixed"/>
        <w:tblCellMar>
          <w:top w:w="0" w:type="dxa"/>
          <w:left w:w="0" w:type="dxa"/>
          <w:bottom w:w="0" w:type="dxa"/>
          <w:right w:w="0" w:type="dxa"/>
        </w:tblCellMar>
      </w:tblPr>
      <w:tblGrid>
        <w:gridCol w:w="530"/>
        <w:gridCol w:w="7130"/>
      </w:tblGrid>
      <w:tr>
        <w:trPr/>
        <w:tc>
          <w:tcPr>
            <w:tcW w:w="530" w:type="dxa"/>
            <w:tcBorders/>
            <w:vAlign w:val="center"/>
          </w:tcPr>
          <w:p>
            <w:pPr>
              <w:pStyle w:val="TableContents"/>
              <w:bidi w:val="0"/>
              <w:spacing w:before="0" w:after="283"/>
              <w:jc w:val="left"/>
              <w:rPr>
                <w:b/>
                <w:sz w:val="20"/>
              </w:rPr>
            </w:pPr>
            <w:r>
              <w:rPr>
                <w:b/>
                <w:sz w:val="20"/>
              </w:rPr>
              <w:t>Metal</w:t>
            </w:r>
          </w:p>
        </w:tc>
        <w:tc>
          <w:tcPr>
            <w:tcW w:w="7130" w:type="dxa"/>
            <w:tcBorders/>
            <w:vAlign w:val="center"/>
          </w:tcPr>
          <w:p>
            <w:pPr>
              <w:pStyle w:val="TableContents"/>
              <w:bidi w:val="0"/>
              <w:spacing w:before="0" w:after="283"/>
              <w:jc w:val="left"/>
              <w:rPr>
                <w:b/>
                <w:sz w:val="20"/>
              </w:rPr>
            </w:pPr>
            <w:r>
              <w:rPr>
                <w:b/>
                <w:sz w:val="20"/>
              </w:rPr>
              <w:t>Smelter</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MD Overseas</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 Concentrators SA (Pty)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Metallix Refining Inc.</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(Hong Kong)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(Singapore) Pte.,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(Suzhou)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S.A.</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USA Refining Corporation</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Metalúrgica Met-Mex Peñoles S.A. De C.V.</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Minera Titan del Peru SRL (MTP) - Belen Plant</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Mitsubishi Materials Corporation</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Mitsui Mining and Smelting Co.,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MKS PAMP SA</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MMTC-PAMP India Pvt.,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Modeltech Sdn Bhd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Morris and Watson</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Moscow Special Alloys Processing Plant</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Nadir Metal Rafineri San. Ve Tic. A.&amp;Scedil;.</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Navoi Mining and Metallurgical Combinat</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NH Recytech Company</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Nihon Material Co.,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NOBLE METAL SERVICES</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Oegussa Oesterreichische Gold- und Silber-Scheideanstalt Gesm.b.H.</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Ohura Precious Metal Industry Co.,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OJSC "The Gulidov Krasnoyarsk Non-Ferrous Metals Plant" (OJSC Krastsvetmet)</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Pease &amp; Curren</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Penglai Penggang Gold Industry Co.,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Planta Recuperadora de Metales SpA</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Prioksky Plant of Non-Ferrous Metals</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Aneka Tambang (Persero) Tbk</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PX Précinox S.A.</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QG Refining, LLC</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Rand Refinery (Pty)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REMONDIS PMR B.V.</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Royal Canadian Mint</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SAAMP</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Sabin Metal Corp.</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Safimet S.p.A</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SAFINA A.S.</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 Precious Metals FZ-LLC</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Samduck Precious Metals</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Samwon Metals Corp.</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SEMPSA Joyería Platería S.A.</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Gold Smelting Co.,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Humon Smelting Co.,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Tiancheng Biological Gold Industrial Co.,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Zhaojin Gold &amp; Silver Refinery Co., Ltd.</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Shenzhen CuiLu Gold Co., Ltd.</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7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SHENZHEN JINJUNWEI RESOURCE COMPREHENSIVE DEVELOPMENT CO., LTD.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7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475" w:type="dxa"/>
        <w:jc w:val="left"/>
        <w:tblInd w:w="0" w:type="dxa"/>
        <w:tblLayout w:type="fixed"/>
        <w:tblCellMar>
          <w:top w:w="0" w:type="dxa"/>
          <w:left w:w="0" w:type="dxa"/>
          <w:bottom w:w="0" w:type="dxa"/>
          <w:right w:w="0" w:type="dxa"/>
        </w:tblCellMar>
      </w:tblPr>
      <w:tblGrid>
        <w:gridCol w:w="815"/>
        <w:gridCol w:w="5660"/>
      </w:tblGrid>
      <w:tr>
        <w:trPr/>
        <w:tc>
          <w:tcPr>
            <w:tcW w:w="815" w:type="dxa"/>
            <w:tcBorders/>
            <w:vAlign w:val="center"/>
          </w:tcPr>
          <w:p>
            <w:pPr>
              <w:pStyle w:val="TableContents"/>
              <w:bidi w:val="0"/>
              <w:spacing w:before="0" w:after="283"/>
              <w:jc w:val="left"/>
              <w:rPr>
                <w:b/>
                <w:sz w:val="20"/>
              </w:rPr>
            </w:pPr>
            <w:r>
              <w:rPr>
                <w:b/>
                <w:sz w:val="20"/>
              </w:rPr>
              <w:t>Metal</w:t>
            </w:r>
          </w:p>
        </w:tc>
        <w:tc>
          <w:tcPr>
            <w:tcW w:w="5660" w:type="dxa"/>
            <w:tcBorders/>
            <w:vAlign w:val="center"/>
          </w:tcPr>
          <w:p>
            <w:pPr>
              <w:pStyle w:val="TableContents"/>
              <w:bidi w:val="0"/>
              <w:spacing w:before="0" w:after="283"/>
              <w:jc w:val="left"/>
              <w:rPr>
                <w:b/>
                <w:sz w:val="20"/>
              </w:rPr>
            </w:pPr>
            <w:r>
              <w:rPr>
                <w:b/>
                <w:sz w:val="20"/>
              </w:rPr>
              <w:t>Smelter</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Shenzhen Zhonghenglong Real Industry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Shirpur Gold Refinery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Sichuan Tianze Precious Metals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Singway Technology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SOE Shyolkovsky Factory of Secondary Precious Metals</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Solar Applied Materials Technology Corp.</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SOLEIL METALS (Chala One Plant)</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SOLEIL METALS (YAKARI Plant)</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Sovereign Metals</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Research Institute Center for Physical Sciences and Technology</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Sumitomo Metal Mining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SungEel HiMetal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Dragon Technology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T.C.A S.p.A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Tanaka Kikinzoku Kogyo K.K.</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TITAN COMPANY LIMITED, JEWELLERY DIVISION</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Tokuriki Honten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Tongling (Jinguan) Nonferrous Jinguan Copper Industry</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TOO Tau-Ken-Altyn</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Torecom</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Umicore Precious Metals Thailand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Umicore S.A. Business Unit Precious Metals Refining</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Precious Metal Refining, Inc.</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Valcambi S.A.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WEEEREFINING</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WIELAND Edelmetalle GmbH</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Yamakin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Yokohama Metal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Yunnan Copper Southwest Copper Branch</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Zhongyuan Gold Smelter of Zhongjin Gold Corporation</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Zijin Mining Group Gold Smelting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5D Production OU</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AMG Brasil</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Block Metals, LLC</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F&amp;X Electro-Materials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 Metals &amp; Resource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Advanced Metals Aizu</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Advanced Metals Boyertown</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Guangdong Rising Rare Metals-EO Materials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Hengyang King Xing Lifeng New Materials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Dinghai Tantalum &amp; Niobium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Suns Nonferrous Materials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Tuohong New Raw Material</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JiuJiang JinXin Nonferrous Metals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Jiujiang Tanbre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Jiujiang Zhongao Tantalum &amp; Niobium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KEMET de Mexico</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Materion Newton Inc.</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Metallurgical Products India Pvt., Ltd.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8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215" w:type="dxa"/>
        <w:jc w:val="left"/>
        <w:tblInd w:w="0" w:type="dxa"/>
        <w:tblLayout w:type="fixed"/>
        <w:tblCellMar>
          <w:top w:w="0" w:type="dxa"/>
          <w:left w:w="0" w:type="dxa"/>
          <w:bottom w:w="0" w:type="dxa"/>
          <w:right w:w="0" w:type="dxa"/>
        </w:tblCellMar>
      </w:tblPr>
      <w:tblGrid>
        <w:gridCol w:w="815"/>
        <w:gridCol w:w="7400"/>
      </w:tblGrid>
      <w:tr>
        <w:trPr/>
        <w:tc>
          <w:tcPr>
            <w:tcW w:w="815" w:type="dxa"/>
            <w:tcBorders/>
            <w:vAlign w:val="center"/>
          </w:tcPr>
          <w:p>
            <w:pPr>
              <w:pStyle w:val="TableContents"/>
              <w:bidi w:val="0"/>
              <w:spacing w:before="0" w:after="283"/>
              <w:jc w:val="left"/>
              <w:rPr>
                <w:b/>
                <w:sz w:val="20"/>
              </w:rPr>
            </w:pPr>
            <w:r>
              <w:rPr>
                <w:b/>
                <w:sz w:val="20"/>
              </w:rPr>
              <w:t>Metal</w:t>
            </w:r>
          </w:p>
        </w:tc>
        <w:tc>
          <w:tcPr>
            <w:tcW w:w="7400" w:type="dxa"/>
            <w:tcBorders/>
            <w:vAlign w:val="center"/>
          </w:tcPr>
          <w:p>
            <w:pPr>
              <w:pStyle w:val="TableContents"/>
              <w:bidi w:val="0"/>
              <w:spacing w:before="0" w:after="283"/>
              <w:jc w:val="left"/>
              <w:rPr>
                <w:b/>
                <w:sz w:val="20"/>
              </w:rPr>
            </w:pPr>
            <w:r>
              <w:rPr>
                <w:b/>
                <w:sz w:val="20"/>
              </w:rPr>
              <w:t>Smelter</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Mineração Taboca S.A.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Mitsui Kinzoku Company, Limited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Ningxia Orient Tantalum Industry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NPM Silmet AS</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PowerX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Resind Indústria e Comércio Ltda.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Solikamsk Magnesium Works OAO</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Taki Chemical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TANIOBIS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TANIOBIS GmbH</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TANIOBIS Japan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TANIOBIS Smelting GmbH &amp; Co. KG</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Telex Metals</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Ulba Metallurgical Plant JSC</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XIMEI RESOURCES (GUANGDONG) LIMITED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XinXing HaoRong Electronic Material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Yanling Jincheng Tantalum &amp; Niobium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Alpha Assembly Solutions Inc</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Vinh Joint Stock Mineral Processing Company</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Aurubis Beerse</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Aurubis Berango</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Chenzhou Yunxiang Mining and Metallurgy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Chifeng Dajingzi Tin Industry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Tin Group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CRM Fundicao De Metais E Comercio De Equipamentos Eletronicos Do Brasil Ltda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CRM Synergies</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CV Ayi Jaya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Dongguan Best Alloys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Dongguan CiEXPO Environmental Engineering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Dowa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Electro-Mechanical Facility of the Cao Bang Minerals &amp; Metallurgy Joint Stock Company</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 Vinto</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Estanho de Rondônia S.A.</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Fabrica Auricchio Industria e Comercio Ltda.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Fenix Metals</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City Fuxiang Industry and Trade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Kai Meng Industry and Trade LLC</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Non-Ferrous Metal Processing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Yunxin Nonferrous Electrolysis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Zili Mining And Metallurgy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Advanced Metals Greenbushes Pty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Guangdong Hanhe Non-Ferrous Metal Co.,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HuiChang Hill Tin Industry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New Nanshan Technology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Longnan Chuangyue Environmental Protection Technology Development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Luna Smelter, Ltd.</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Ma'anshan Weitai Tin Co., Ltd.</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Magnu's Minerais Metais e Ligas Ltda.</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7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 Smelting Corporation (MSC)</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9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115" w:type="dxa"/>
        <w:jc w:val="left"/>
        <w:tblInd w:w="0" w:type="dxa"/>
        <w:tblLayout w:type="fixed"/>
        <w:tblCellMar>
          <w:top w:w="0" w:type="dxa"/>
          <w:left w:w="0" w:type="dxa"/>
          <w:bottom w:w="0" w:type="dxa"/>
          <w:right w:w="0" w:type="dxa"/>
        </w:tblCellMar>
      </w:tblPr>
      <w:tblGrid>
        <w:gridCol w:w="800"/>
        <w:gridCol w:w="8315"/>
      </w:tblGrid>
      <w:tr>
        <w:trPr/>
        <w:tc>
          <w:tcPr>
            <w:tcW w:w="800" w:type="dxa"/>
            <w:tcBorders/>
            <w:vAlign w:val="center"/>
          </w:tcPr>
          <w:p>
            <w:pPr>
              <w:pStyle w:val="TableContents"/>
              <w:bidi w:val="0"/>
              <w:spacing w:before="0" w:after="283"/>
              <w:jc w:val="left"/>
              <w:rPr>
                <w:b/>
                <w:sz w:val="20"/>
              </w:rPr>
            </w:pPr>
            <w:r>
              <w:rPr>
                <w:b/>
                <w:sz w:val="20"/>
              </w:rPr>
              <w:t>Metal</w:t>
            </w:r>
          </w:p>
        </w:tc>
        <w:tc>
          <w:tcPr>
            <w:tcW w:w="8315" w:type="dxa"/>
            <w:tcBorders/>
            <w:vAlign w:val="center"/>
          </w:tcPr>
          <w:p>
            <w:pPr>
              <w:pStyle w:val="TableContents"/>
              <w:bidi w:val="0"/>
              <w:spacing w:before="0" w:after="283"/>
              <w:jc w:val="left"/>
              <w:rPr>
                <w:b/>
                <w:sz w:val="20"/>
              </w:rPr>
            </w:pPr>
            <w:r>
              <w:rPr>
                <w:b/>
                <w:sz w:val="20"/>
              </w:rPr>
              <w:t>Smelter</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 Smelting Corporation Berhad (Port Klang)</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Melt Metais e Ligas S.A.</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Metallic Resources, Inc.</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Mineração Taboca S.A.</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Mining Minerals Resources SARL</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Minsur</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Mitsubishi Materials Corporation</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Modeltech Sdn Bhd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Nghe Tinh Non-Ferrous Metals Joint Stock Company</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Novosibirsk Tin Combine</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O.M. Manufacturing (Thailand) Co., Ltd.</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O.M. Manufacturing Philippines, Inc.</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Operaciones Metalúrgicas S.A.</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 Kay Metal, Inc</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Precious Minerals and Smelting Limited</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Aries Kencana Sejahtera</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Arsed Indonesia</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ATD Makmur Mandiri Jaya</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Bangka Prima Tin</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Cipta Persada Mulia</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Masbro Alam Stania</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Mitra Stania Prima</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Mitra Sukses Globalindo</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Premium Tin Indonesia</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Prima Timah Utama</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Putera Sarana Shakti (PT PSS)</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Rajehan Ariq</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Timah Tbk Kundur</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Timah Tbk Mentok</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Resind Indústria e Comércio Ltda.</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RIKAYAA GREENTECH PRIVATE LIMITED</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Da Hung</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Ligas</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Takehara PVD Materials Plant / PVD Materials Division of MITSUI MINING &amp; SMELTING CO.,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Thaisarco</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Smelting Branch of Yunnan Tin Co.,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Technology &amp; Refining</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VQB Mineral and Trading Group JSC</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White Solder Metalurgia e Mineração Ltda.</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Woodcross Smelting Company Limited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Yunnan Chengfeng Non-ferrous Metals Co., Ltd.</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Yunnan Yunfan Non-ferrous Metals Co.,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A.L.M.T. Corp.</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Albasteel Industria e Comercio de Ligas Para Fundicao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Asia Tungsten Products Vietnam Ltd.</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Molybdenum Tungsten Co.,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Chongyi Zhangyuan Tungsten Co., Ltd.</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8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Cronimet Brasil Ltda</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8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Fujian Xinlu Tungsten Co., Ltd.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10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765" w:type="dxa"/>
        <w:jc w:val="left"/>
        <w:tblInd w:w="0" w:type="dxa"/>
        <w:tblLayout w:type="fixed"/>
        <w:tblCellMar>
          <w:top w:w="0" w:type="dxa"/>
          <w:left w:w="0" w:type="dxa"/>
          <w:bottom w:w="0" w:type="dxa"/>
          <w:right w:w="0" w:type="dxa"/>
        </w:tblCellMar>
      </w:tblPr>
      <w:tblGrid>
        <w:gridCol w:w="800"/>
        <w:gridCol w:w="6965"/>
      </w:tblGrid>
      <w:tr>
        <w:trPr/>
        <w:tc>
          <w:tcPr>
            <w:tcW w:w="800" w:type="dxa"/>
            <w:tcBorders/>
            <w:vAlign w:val="center"/>
          </w:tcPr>
          <w:p>
            <w:pPr>
              <w:pStyle w:val="TableContents"/>
              <w:bidi w:val="0"/>
              <w:spacing w:before="0" w:after="283"/>
              <w:jc w:val="left"/>
              <w:rPr>
                <w:b/>
                <w:sz w:val="20"/>
              </w:rPr>
            </w:pPr>
            <w:r>
              <w:rPr>
                <w:b/>
                <w:sz w:val="20"/>
              </w:rPr>
              <w:t>Metal</w:t>
            </w:r>
          </w:p>
        </w:tc>
        <w:tc>
          <w:tcPr>
            <w:tcW w:w="6965" w:type="dxa"/>
            <w:tcBorders/>
            <w:vAlign w:val="center"/>
          </w:tcPr>
          <w:p>
            <w:pPr>
              <w:pStyle w:val="TableContents"/>
              <w:bidi w:val="0"/>
              <w:spacing w:before="0" w:after="283"/>
              <w:jc w:val="left"/>
              <w:rPr>
                <w:b/>
                <w:sz w:val="20"/>
              </w:rPr>
            </w:pPr>
            <w:r>
              <w:rPr>
                <w:b/>
                <w:sz w:val="20"/>
              </w:rPr>
              <w:t>Smelter</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Jiangwu Ferrotungsten Co., Ltd.</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Seadragon W &amp; Mo Co.,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Tungsten &amp; Powders LLC.</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Guangdong Xianglu Tungsten Co.,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H.C. Starck Tungsten GmbH</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Hubei Green Tungsten Co.,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Jintai New Material Co., Ltd.</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Shizhuyuan Nonferrous Metals Co., Ltd. Chenzhou Tungsten Products Branch</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Hydrometallurg, JSC</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 New Metals Co.,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Jiangwu H.C. Starck Tungsten Products Co., Ltd.</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Gan Bei Tungsten Co.,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Minmetals Gao'an Non-ferrous Metals Co., Ltd.</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Xinsheng Tungsten Industry Co.,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Yaosheng Tungsten Co., Ltd.</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Jing Yuan Tungsten Technology Co.,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JSC "Kirovgrad Hard Alloys Plant"</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KENEE MINING VIETNAM COMPANY LIMITED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Kennametal Fallon</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Kennametal Huntsville</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LAOS SOUTHERN MINING SMELTING SOLE CO.,LTD</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Lianyou Metals Co.,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Lianyou Resources Co., Ltd.</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Malipo Haiyu Tungsten Co.,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Masan High-Tech Materials</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Moliren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 Viet Cromit Joint Stock Company</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Niagara Refining LLC</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NPP Tyazhmetprom LLC</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OOO “Technolom” 1</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OOO “Technolom” 2</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 Bonway Manufacturing Industrial Corporation</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 Carreytech Metal Corp.</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S.P.T. spol.s r.o.</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Shinwon Tungsten (Fujian Shanghang) Co., Ltd.</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TANIOBIS Smelting GmbH &amp; Co. KG</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Tungamoy Metals Inc.</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 Vietnam Joint Stock Company</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Unecha Refractory Metals Plant</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Uzbekistan Technological Metallurgical Complex JSC</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Wolfram Bergbau and Hütten AG</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Xiamen Tungsten (H.C.) Co., Ltd.</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Xiamen Tungsten Co., Ltd.</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YUDU ANSHENG TUNGSTEN CO., 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11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3993</Words>
  <Characters>22760</Characters>
  <CharactersWithSpaces>26027</CharactersWithSpaces>
  <Paragraphs>1002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