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Keenova Therapeutics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George Travers</w:t>
              <w:br/>
              <w:t>c/o GoldenTree Asset Management LP, 300 Park Avenue, 21st Floor</w:t>
              <w:br/>
              <w:t>New York, NY, 10022</w:t>
              <w:br/>
              <w:t>(212) 847-3500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GoldenTree Asset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8,389,212.00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8,389,212.00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8,389,212.00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GoldenTree Asset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8,389,212.00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8,389,212.00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8,389,212.00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Steven A. Tananbaum</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53,615.00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8,389,212.00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53,615.00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8,389,212.00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8,442,827.00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Keenova Therapeutics plc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College Business &amp; Technology Park, Cruiserath Road, Blanchardstown, Dublin, IRELAND , 15 D15 TX2.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to Schedule 13D ("Amendment No. 1") amends and supplements the Schedule 13D originally filed with the United States Securities and Exchange Commission on August 7, 2025 (as amended to date, the "Schedule 13D"), relating to the ordinary shares, par value $0.01 per share ("Ordinary Shares") of Keenova Therapeutics plc (the "Issuer"). Capitalized terms used herein without definition shall have the meanings set forth in the Schedule 13D.</w:t>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Item 3 of the Schedule 13D is hereby amended and supplemented by the following: On September 24, 2026, the Reporting Persons purchased an aggregate of 463,000 Ordinary Shares for aggregate consideration of $42,133,000 using working capital.</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Item 5 of the Schedule 13D is hereby amended and restated by the following: The information contained on the cover pages to this Schedule 13D is incorporated herein by reference. The securities reported herein include (i) 8,389,212 Ordinary Shares held directly by certain funds and separate accounts managed by the Investment Manager and (ii) 53,615 Ordinary Shares held directly by Mr. Tananbaum. The ownership percentage set forth herein is based on 39,646,277 Ordinary Shares outstanding as of August 4, 2026 as disclosed in the Issuer's Quarterly Report on Form 10-Q filed with the Securities and Exchange Commission on August 11, 2026. The Investment Manager is the investment manager or advisor to certain funds and a separately managed account by the Investment Manager (the "Funds"). IMGP is the general partner of the Investment Manager. Steven A. Tananbaum is the managing member of IMGP. As a result of these relationships, each of the Reporting Persons may be deemed to share beneficial ownership of the securities held of record by the Funds.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The information contained on the cover pages to this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Except as set forth in Item 3 above, during the past 60 days, the Reporting Persons have not effected any transactions in the Ordinary Shares.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GoldenTree Asset Management LP</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GoldenTree Asset Management LLC, its General Partner, /s/ Steven A. Tananbaum</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Steven A. Tananbaum,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GoldenTree Asset Management LLC</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Steven A. Tananbaum</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Steven A. Tananbaum,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Steven A. Tananbaum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4"/>
        <w:gridCol w:w="4271"/>
      </w:tblGrid>
      <w:tr>
        <w:trPr/>
        <w:tc>
          <w:tcPr>
            <w:tcW w:w="59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Steven A. Tananbaum</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Steven A. Tananbaum</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1074</Words>
  <Characters>5673</Characters>
  <CharactersWithSpaces>6657</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