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763-3_4seq1.xml.htm"/>
      <w:bookmarkStart w:id="1" w:name="kstm2620763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Efron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 ROUTE 22 EAST, SUITE 302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BRIDGEWATER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Keenova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8,390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vesting, each restricted stock unit ("RSU") will be settled in ordinary shares of the Issuer at one share per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on the earlier of (i) the first anniversary of the grant date and (ii) the date of the Issuer's next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constitutes a notice to the Issuer for purposes of Part V of the Companies Act 2014.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Tyndall,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711" TargetMode="External"/><Relationship Id="rId5" Type="http://schemas.openxmlformats.org/officeDocument/2006/relationships/hyperlink" Target="http://www.sec.gov/cgi-bin/browse-edgar?action=getcompany&amp;CIK=00015678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3389</Characters>
  <CharactersWithSpaces>3961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