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GOLDENTREE ASSET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PARK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21ST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Keenova Therapeutics plc</w:t>
              </w:r>
            </w:hyperlink>
            <w:r>
              <w:rPr/>
              <w:t xml:space="preserve"> [ </w:t>
            </w:r>
            <w:r>
              <w:rPr>
                <w:rFonts w:ascii="Times;serif" w:hAnsi="Times;serif"/>
                <w:color w:val="0000FF"/>
                <w:sz w:val="24"/>
                <w:shd w:fill="FFFFFF" w:val="clear"/>
              </w:rPr>
              <w:t>NONE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2"/>
        <w:gridCol w:w="903"/>
        <w:gridCol w:w="774"/>
        <w:gridCol w:w="600"/>
        <w:gridCol w:w="343"/>
        <w:gridCol w:w="1006"/>
        <w:gridCol w:w="439"/>
        <w:gridCol w:w="602"/>
        <w:gridCol w:w="1261"/>
        <w:gridCol w:w="980"/>
        <w:gridCol w:w="10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137,000</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w:t>
            </w:r>
          </w:p>
        </w:tc>
        <w:tc>
          <w:tcPr>
            <w:tcW w:w="12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8,579,827</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GOLDENTREE ASSET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PARK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21ST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GoldenTree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PARK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21ST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Tananbaum Steven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PARK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21ST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Ordinary Shares reported herein in which the Advisor has a pecuniary interest. Steven A. Tananbaum is the managing member of the General Partner and may be deemed to have a pecuniary interest in the Ordinary Shares reported herein in which the Advisor and the General Partner have a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Advisor, the General Partner, and Mr. Tananbaum disclaim beneficial ownership of the Ordinary Shares held by the Funds.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reported herein include 8,526,212 Ordinary Shares held directly by certain funds and separate accounts managed by the Advisor and 53,615 Ordinary Shares held directly by Mr. Tananbaum.</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GoldenTree Asset Management LP, By: GoldenTree Asset Management LLC, its General Partner, /s/ Steven A. Tananbaum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GoldenTree Asset Management LLC, /s/ Steven A. Tananbaum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A. Tananbaum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8951" TargetMode="External"/><Relationship Id="rId5" Type="http://schemas.openxmlformats.org/officeDocument/2006/relationships/hyperlink" Target="http://www.sec.gov/cgi-bin/browse-edgar?action=getcompany&amp;CIK=00015678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278951" TargetMode="External"/><Relationship Id="rId9" Type="http://schemas.openxmlformats.org/officeDocument/2006/relationships/hyperlink" Target="http://www.sec.gov/cgi-bin/browse-edgar?action=getcompany&amp;CIK=0001435627" TargetMode="External"/><Relationship Id="rId10" Type="http://schemas.openxmlformats.org/officeDocument/2006/relationships/hyperlink" Target="http://www.sec.gov/cgi-bin/browse-edgar?action=getcompany&amp;CIK=0001435626"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859</Words>
  <Characters>4655</Characters>
  <CharactersWithSpaces>5398</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